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ascii="宋体"/>
          <w:b/>
          <w:sz w:val="32"/>
          <w:szCs w:val="32"/>
        </w:rPr>
      </w:pPr>
    </w:p>
    <w:p>
      <w:pPr>
        <w:rPr>
          <w:rFonts w:ascii="宋体"/>
          <w:b/>
          <w:sz w:val="32"/>
          <w:szCs w:val="32"/>
        </w:rPr>
      </w:pP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spacing w:line="48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《设施蔬菜固碳生产技术规程</w:t>
      </w:r>
    </w:p>
    <w:p>
      <w:pPr>
        <w:spacing w:line="480" w:lineRule="auto"/>
        <w:jc w:val="center"/>
        <w:rPr>
          <w:rFonts w:ascii="黑体" w:eastAsia="黑体" w:hAnsiTheme="minorHAnsi" w:cstheme="minorBidi"/>
          <w:b/>
          <w:kern w:val="22"/>
          <w:sz w:val="44"/>
          <w:szCs w:val="44"/>
        </w:rPr>
      </w:pPr>
      <w:r>
        <w:rPr>
          <w:rFonts w:ascii="黑体" w:eastAsia="黑体" w:hAnsiTheme="minorHAnsi" w:cstheme="minorBidi"/>
          <w:b/>
          <w:kern w:val="22"/>
          <w:sz w:val="44"/>
          <w:szCs w:val="44"/>
        </w:rPr>
        <w:t>日光温室西芹</w:t>
      </w:r>
      <w:r>
        <w:rPr>
          <w:rFonts w:hint="eastAsia" w:ascii="黑体" w:eastAsia="黑体" w:hAnsiTheme="minorHAnsi" w:cstheme="minorBidi"/>
          <w:b/>
          <w:kern w:val="22"/>
          <w:sz w:val="44"/>
          <w:szCs w:val="44"/>
        </w:rPr>
        <w:t>》</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jc w:val="center"/>
        <w:rPr>
          <w:rFonts w:ascii="仿宋" w:hAnsi="仿宋" w:eastAsia="仿宋"/>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jc w:val="center"/>
        <w:rPr>
          <w:b/>
          <w:sz w:val="32"/>
          <w:szCs w:val="32"/>
        </w:rPr>
      </w:pPr>
      <w:r>
        <w:rPr>
          <w:rFonts w:hint="eastAsia" w:ascii="宋体" w:hAnsi="宋体"/>
          <w:b/>
          <w:kern w:val="22"/>
          <w:sz w:val="32"/>
          <w:szCs w:val="32"/>
        </w:rPr>
        <w:t>编制单位：</w:t>
      </w:r>
      <w:r>
        <w:rPr>
          <w:b/>
          <w:sz w:val="32"/>
          <w:szCs w:val="32"/>
        </w:rPr>
        <w:t>山西农业大学</w:t>
      </w:r>
    </w:p>
    <w:p>
      <w:pPr>
        <w:spacing w:line="360" w:lineRule="auto"/>
        <w:jc w:val="center"/>
        <w:rPr>
          <w:rFonts w:ascii="宋体" w:hAnsi="宋体"/>
          <w:b/>
          <w:sz w:val="32"/>
          <w:szCs w:val="32"/>
        </w:rPr>
      </w:pPr>
      <w:r>
        <w:rPr>
          <w:rFonts w:hint="eastAsia" w:ascii="宋体" w:hAnsi="宋体"/>
          <w:b/>
          <w:sz w:val="32"/>
          <w:szCs w:val="32"/>
        </w:rPr>
        <w:t>二〇二四年</w:t>
      </w:r>
      <w:r>
        <w:rPr>
          <w:rFonts w:hint="eastAsia" w:ascii="宋体" w:hAnsi="宋体"/>
          <w:b/>
          <w:sz w:val="32"/>
          <w:szCs w:val="32"/>
          <w:lang w:eastAsia="zh-CN"/>
        </w:rPr>
        <w:t>三</w:t>
      </w:r>
      <w:r>
        <w:rPr>
          <w:rFonts w:hint="eastAsia" w:ascii="宋体" w:hAnsi="宋体"/>
          <w:b/>
          <w:sz w:val="32"/>
          <w:szCs w:val="32"/>
        </w:rPr>
        <w:t>月</w:t>
      </w:r>
    </w:p>
    <w:p>
      <w:pPr>
        <w:jc w:val="center"/>
        <w:rPr>
          <w:rFonts w:ascii="宋体" w:hAnsi="宋体"/>
          <w:b/>
          <w:sz w:val="32"/>
          <w:szCs w:val="32"/>
        </w:rPr>
      </w:pPr>
    </w:p>
    <w:p>
      <w:pPr>
        <w:spacing w:line="520" w:lineRule="exact"/>
        <w:ind w:firstLine="3011" w:firstLineChars="1000"/>
        <w:rPr>
          <w:rFonts w:hint="eastAsia" w:ascii="宋体" w:hAnsi="宋体"/>
          <w:b/>
          <w:sz w:val="30"/>
          <w:szCs w:val="30"/>
        </w:rPr>
      </w:pPr>
    </w:p>
    <w:p>
      <w:pPr>
        <w:spacing w:line="520" w:lineRule="exact"/>
        <w:ind w:firstLine="3011" w:firstLineChars="1000"/>
        <w:rPr>
          <w:rFonts w:ascii="宋体"/>
          <w:b/>
          <w:sz w:val="30"/>
          <w:szCs w:val="30"/>
        </w:rPr>
      </w:pPr>
      <w:bookmarkStart w:id="3" w:name="_GoBack"/>
      <w:bookmarkEnd w:id="3"/>
      <w:r>
        <w:rPr>
          <w:rFonts w:hint="eastAsia" w:ascii="宋体" w:hAnsi="宋体"/>
          <w:b/>
          <w:sz w:val="30"/>
          <w:szCs w:val="30"/>
        </w:rPr>
        <w:t>山西省地方标准</w:t>
      </w:r>
    </w:p>
    <w:p>
      <w:pPr>
        <w:spacing w:line="520" w:lineRule="exact"/>
        <w:jc w:val="center"/>
        <w:rPr>
          <w:rFonts w:ascii="宋体"/>
          <w:b/>
          <w:sz w:val="30"/>
          <w:szCs w:val="30"/>
        </w:rPr>
      </w:pPr>
      <w:r>
        <w:rPr>
          <w:rFonts w:hint="eastAsia" w:ascii="宋体" w:hAnsi="宋体"/>
          <w:b/>
          <w:sz w:val="30"/>
          <w:szCs w:val="30"/>
        </w:rPr>
        <w:t>《设施蔬菜固碳生产技术规程</w:t>
      </w:r>
      <w:r>
        <w:rPr>
          <w:rFonts w:ascii="宋体" w:hAnsi="宋体"/>
          <w:b/>
          <w:sz w:val="30"/>
          <w:szCs w:val="30"/>
        </w:rPr>
        <w:t xml:space="preserve">  日光温室西芹</w:t>
      </w:r>
      <w:r>
        <w:rPr>
          <w:rFonts w:hint="eastAsia" w:ascii="宋体" w:hAnsi="宋体"/>
          <w:b/>
          <w:sz w:val="30"/>
          <w:szCs w:val="30"/>
        </w:rPr>
        <w:t>》</w:t>
      </w:r>
    </w:p>
    <w:p>
      <w:pPr>
        <w:spacing w:line="520" w:lineRule="exact"/>
        <w:jc w:val="center"/>
        <w:rPr>
          <w:rFonts w:ascii="宋体" w:hAnsi="宋体"/>
          <w:b/>
          <w:sz w:val="30"/>
          <w:szCs w:val="30"/>
        </w:rPr>
      </w:pPr>
      <w:r>
        <w:rPr>
          <w:rFonts w:hint="eastAsia" w:ascii="宋体" w:hAnsi="宋体"/>
          <w:b/>
          <w:sz w:val="30"/>
          <w:szCs w:val="30"/>
        </w:rPr>
        <w:t>编制说明</w:t>
      </w:r>
    </w:p>
    <w:p>
      <w:pPr>
        <w:spacing w:line="520" w:lineRule="exact"/>
        <w:jc w:val="center"/>
        <w:rPr>
          <w:rFonts w:ascii="宋体" w:hAnsi="宋体"/>
          <w:b/>
          <w:sz w:val="30"/>
          <w:szCs w:val="30"/>
        </w:rPr>
      </w:pPr>
    </w:p>
    <w:p>
      <w:pPr>
        <w:spacing w:line="360" w:lineRule="auto"/>
        <w:ind w:firstLine="480" w:firstLineChars="200"/>
        <w:outlineLvl w:val="0"/>
        <w:rPr>
          <w:rFonts w:ascii="黑体" w:eastAsia="黑体"/>
          <w:sz w:val="24"/>
        </w:rPr>
      </w:pPr>
      <w:r>
        <w:rPr>
          <w:rFonts w:hint="eastAsia" w:ascii="黑体" w:eastAsia="黑体"/>
          <w:sz w:val="24"/>
        </w:rPr>
        <w:t>一、工作简况</w:t>
      </w:r>
    </w:p>
    <w:p>
      <w:pPr>
        <w:spacing w:line="360" w:lineRule="auto"/>
        <w:ind w:left="465"/>
        <w:outlineLvl w:val="1"/>
        <w:rPr>
          <w:rFonts w:ascii="楷体_GB2312" w:eastAsia="楷体_GB2312"/>
          <w:sz w:val="24"/>
        </w:rPr>
      </w:pPr>
      <w:r>
        <w:rPr>
          <w:rFonts w:hint="eastAsia" w:ascii="楷体_GB2312" w:eastAsia="楷体_GB2312"/>
          <w:sz w:val="24"/>
        </w:rPr>
        <w:t>1任务来源</w:t>
      </w:r>
    </w:p>
    <w:p>
      <w:pPr>
        <w:spacing w:line="360" w:lineRule="auto"/>
        <w:ind w:firstLine="480" w:firstLineChars="200"/>
        <w:jc w:val="left"/>
        <w:outlineLvl w:val="1"/>
        <w:rPr>
          <w:rFonts w:eastAsia="仿宋_GB2312"/>
          <w:sz w:val="24"/>
        </w:rPr>
      </w:pPr>
      <w:r>
        <w:rPr>
          <w:rFonts w:eastAsia="仿宋_GB2312"/>
          <w:sz w:val="24"/>
        </w:rPr>
        <w:t>按照山西省市场监督管理局关于2022年度省级地方标准复审结论公告（山西省地方标准公告2022年第20号），《日光温室西芹高效固碳生产技术规程》DB14/T1555—2018被列入山西省地方标准修订计划，本标准由山西省农业标准化技术委员会（SXS/TC19）归口。</w:t>
      </w:r>
    </w:p>
    <w:p>
      <w:pPr>
        <w:spacing w:line="360" w:lineRule="auto"/>
        <w:ind w:left="465"/>
        <w:outlineLvl w:val="1"/>
        <w:rPr>
          <w:rFonts w:ascii="楷体_GB2312" w:eastAsia="楷体_GB2312"/>
          <w:sz w:val="24"/>
        </w:rPr>
      </w:pPr>
      <w:r>
        <w:rPr>
          <w:rFonts w:hint="eastAsia" w:ascii="楷体_GB2312" w:eastAsia="楷体_GB2312"/>
          <w:sz w:val="24"/>
        </w:rPr>
        <w:t>2 起草</w:t>
      </w:r>
      <w:r>
        <w:rPr>
          <w:rFonts w:ascii="楷体_GB2312" w:eastAsia="楷体_GB2312"/>
          <w:sz w:val="24"/>
        </w:rPr>
        <w:t>单位和主要起草人</w:t>
      </w:r>
    </w:p>
    <w:p>
      <w:pPr>
        <w:suppressAutoHyphens/>
        <w:spacing w:line="360" w:lineRule="auto"/>
        <w:ind w:firstLine="480" w:firstLineChars="200"/>
        <w:rPr>
          <w:rFonts w:ascii="仿宋_GB2312" w:hAnsi="宋体" w:eastAsia="仿宋_GB2312"/>
          <w:sz w:val="24"/>
        </w:rPr>
      </w:pPr>
      <w:r>
        <w:rPr>
          <w:rFonts w:ascii="仿宋_GB2312" w:hAnsi="宋体" w:eastAsia="仿宋_GB2312"/>
          <w:sz w:val="24"/>
        </w:rPr>
        <w:t>起草任务由山西农业大学</w:t>
      </w:r>
      <w:r>
        <w:rPr>
          <w:rFonts w:hint="eastAsia" w:ascii="仿宋_GB2312" w:hAnsi="宋体" w:eastAsia="仿宋_GB2312"/>
          <w:sz w:val="24"/>
        </w:rPr>
        <w:t>（单位）承担，晋中市现代农业产业发展中心、太谷区现代农业产业发展中心协助。</w:t>
      </w:r>
    </w:p>
    <w:p>
      <w:pPr>
        <w:spacing w:line="360" w:lineRule="auto"/>
        <w:ind w:firstLine="480" w:firstLineChars="200"/>
        <w:jc w:val="center"/>
        <w:outlineLvl w:val="1"/>
        <w:rPr>
          <w:rFonts w:ascii="仿宋_GB2312" w:hAnsi="宋体" w:eastAsia="仿宋_GB2312"/>
          <w:sz w:val="24"/>
        </w:rPr>
      </w:pPr>
      <w:r>
        <w:rPr>
          <w:rFonts w:ascii="仿宋_GB2312" w:hAnsi="宋体" w:eastAsia="仿宋_GB2312"/>
          <w:sz w:val="24"/>
        </w:rPr>
        <w:t>主要起草人信息</w:t>
      </w:r>
    </w:p>
    <w:tbl>
      <w:tblPr>
        <w:tblStyle w:val="12"/>
        <w:tblW w:w="85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993"/>
        <w:gridCol w:w="1701"/>
        <w:gridCol w:w="3472"/>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姓名</w:t>
            </w:r>
          </w:p>
        </w:tc>
        <w:tc>
          <w:tcPr>
            <w:tcW w:w="993"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性别</w:t>
            </w:r>
          </w:p>
        </w:tc>
        <w:tc>
          <w:tcPr>
            <w:tcW w:w="1701"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职务/职称</w:t>
            </w:r>
          </w:p>
        </w:tc>
        <w:tc>
          <w:tcPr>
            <w:tcW w:w="3472"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工作单位</w:t>
            </w:r>
          </w:p>
        </w:tc>
        <w:tc>
          <w:tcPr>
            <w:tcW w:w="1263"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宋红霞</w:t>
            </w:r>
          </w:p>
        </w:tc>
        <w:tc>
          <w:tcPr>
            <w:tcW w:w="993"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女</w:t>
            </w:r>
          </w:p>
        </w:tc>
        <w:tc>
          <w:tcPr>
            <w:tcW w:w="1701"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副教授</w:t>
            </w:r>
          </w:p>
        </w:tc>
        <w:tc>
          <w:tcPr>
            <w:tcW w:w="3472"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山西农业大学</w:t>
            </w:r>
          </w:p>
        </w:tc>
        <w:tc>
          <w:tcPr>
            <w:tcW w:w="1263"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文本修订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任巧萍</w:t>
            </w:r>
          </w:p>
        </w:tc>
        <w:tc>
          <w:tcPr>
            <w:tcW w:w="993"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女</w:t>
            </w:r>
          </w:p>
        </w:tc>
        <w:tc>
          <w:tcPr>
            <w:tcW w:w="1701"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高级农艺师</w:t>
            </w:r>
          </w:p>
        </w:tc>
        <w:tc>
          <w:tcPr>
            <w:tcW w:w="3472"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晋中市现代农业产业发展中心</w:t>
            </w:r>
          </w:p>
        </w:tc>
        <w:tc>
          <w:tcPr>
            <w:tcW w:w="1263"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白晓静</w:t>
            </w:r>
          </w:p>
        </w:tc>
        <w:tc>
          <w:tcPr>
            <w:tcW w:w="993"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女</w:t>
            </w:r>
          </w:p>
        </w:tc>
        <w:tc>
          <w:tcPr>
            <w:tcW w:w="1701"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农艺师</w:t>
            </w:r>
          </w:p>
        </w:tc>
        <w:tc>
          <w:tcPr>
            <w:tcW w:w="3472" w:type="dxa"/>
            <w:vAlign w:val="center"/>
          </w:tcPr>
          <w:p>
            <w:pPr>
              <w:suppressAutoHyphens/>
              <w:rPr>
                <w:rFonts w:ascii="仿宋_GB2312" w:hAnsi="宋体" w:eastAsia="仿宋_GB2312" w:cs="Courier New"/>
                <w:sz w:val="24"/>
              </w:rPr>
            </w:pPr>
            <w:r>
              <w:rPr>
                <w:rFonts w:hint="eastAsia" w:ascii="仿宋_GB2312" w:hAnsi="宋体" w:eastAsia="仿宋_GB2312" w:cs="Courier New"/>
                <w:sz w:val="24"/>
              </w:rPr>
              <w:t>太谷区现代农业产业发展中心</w:t>
            </w:r>
          </w:p>
        </w:tc>
        <w:tc>
          <w:tcPr>
            <w:tcW w:w="1263" w:type="dxa"/>
            <w:vAlign w:val="center"/>
          </w:tcPr>
          <w:p>
            <w:pPr>
              <w:spacing w:line="400" w:lineRule="exact"/>
              <w:jc w:val="center"/>
              <w:rPr>
                <w:rFonts w:ascii="仿宋_GB2312" w:hAnsi="宋体" w:eastAsia="仿宋_GB2312" w:cs="Courier New"/>
                <w:sz w:val="24"/>
              </w:rPr>
            </w:pPr>
            <w:r>
              <w:rPr>
                <w:rFonts w:hint="eastAsia" w:ascii="仿宋_GB2312" w:hAnsi="宋体" w:eastAsia="仿宋_GB2312" w:cs="Courier New"/>
                <w:sz w:val="24"/>
              </w:rPr>
              <w:t>产业调研</w:t>
            </w:r>
          </w:p>
        </w:tc>
      </w:tr>
    </w:tbl>
    <w:p>
      <w:pPr>
        <w:spacing w:line="360" w:lineRule="auto"/>
        <w:ind w:firstLine="480" w:firstLineChars="200"/>
        <w:outlineLvl w:val="0"/>
        <w:rPr>
          <w:rFonts w:ascii="楷体" w:hAnsi="楷体" w:eastAsia="楷体" w:cs="Courier New"/>
          <w:sz w:val="28"/>
          <w:szCs w:val="28"/>
        </w:rPr>
      </w:pPr>
      <w:r>
        <w:rPr>
          <w:rFonts w:ascii="黑体" w:eastAsia="黑体"/>
          <w:sz w:val="24"/>
        </w:rPr>
        <w:t>二、</w:t>
      </w:r>
      <w:r>
        <w:rPr>
          <w:rFonts w:hint="eastAsia" w:ascii="黑体" w:eastAsia="黑体"/>
          <w:sz w:val="24"/>
        </w:rPr>
        <w:t>修</w:t>
      </w:r>
      <w:r>
        <w:rPr>
          <w:rFonts w:ascii="黑体" w:eastAsia="黑体"/>
          <w:sz w:val="24"/>
        </w:rPr>
        <w:t>订标准的必要性和意义</w:t>
      </w:r>
    </w:p>
    <w:p>
      <w:pPr>
        <w:spacing w:line="360" w:lineRule="auto"/>
        <w:ind w:firstLine="480" w:firstLineChars="200"/>
        <w:rPr>
          <w:rFonts w:eastAsia="仿宋_GB2312"/>
          <w:sz w:val="24"/>
        </w:rPr>
      </w:pPr>
      <w:r>
        <w:rPr>
          <w:rFonts w:eastAsia="仿宋_GB2312"/>
          <w:sz w:val="24"/>
        </w:rPr>
        <w:t>实施碳达峰碳中和山西行动，是贯彻落实党中央决策部署的重大政治任务，是山西全方位推动高质量发展的必然要求。山西是高碳能源产业结构省份，也是全国碳排放最高的省份。</w:t>
      </w:r>
    </w:p>
    <w:p>
      <w:pPr>
        <w:spacing w:line="360" w:lineRule="auto"/>
        <w:ind w:firstLine="480" w:firstLineChars="200"/>
        <w:rPr>
          <w:rFonts w:eastAsia="仿宋_GB2312"/>
          <w:sz w:val="24"/>
        </w:rPr>
      </w:pPr>
      <w:r>
        <w:rPr>
          <w:rFonts w:eastAsia="仿宋_GB2312"/>
          <w:sz w:val="24"/>
        </w:rPr>
        <w:t>富碳农业可以将工业过剩CO</w:t>
      </w:r>
      <w:r>
        <w:rPr>
          <w:rFonts w:eastAsia="仿宋_GB2312"/>
          <w:sz w:val="24"/>
          <w:vertAlign w:val="subscript"/>
        </w:rPr>
        <w:t>2</w:t>
      </w:r>
      <w:r>
        <w:rPr>
          <w:rFonts w:eastAsia="仿宋_GB2312"/>
          <w:sz w:val="24"/>
        </w:rPr>
        <w:t>用于农业生产。CO</w:t>
      </w:r>
      <w:r>
        <w:rPr>
          <w:rFonts w:eastAsia="仿宋_GB2312"/>
          <w:sz w:val="24"/>
          <w:vertAlign w:val="subscript"/>
        </w:rPr>
        <w:t>2</w:t>
      </w:r>
      <w:r>
        <w:rPr>
          <w:rFonts w:eastAsia="仿宋_GB2312"/>
          <w:sz w:val="24"/>
        </w:rPr>
        <w:t>是一种丰富的碳资源，高CO</w:t>
      </w:r>
      <w:r>
        <w:rPr>
          <w:rFonts w:eastAsia="仿宋_GB2312"/>
          <w:sz w:val="24"/>
          <w:vertAlign w:val="subscript"/>
        </w:rPr>
        <w:t>2</w:t>
      </w:r>
      <w:r>
        <w:rPr>
          <w:rFonts w:eastAsia="仿宋_GB2312"/>
          <w:sz w:val="24"/>
        </w:rPr>
        <w:t>浓度下农作物可通过光合作用固定更多的CO</w:t>
      </w:r>
      <w:r>
        <w:rPr>
          <w:rFonts w:eastAsia="仿宋_GB2312"/>
          <w:sz w:val="24"/>
          <w:vertAlign w:val="subscript"/>
        </w:rPr>
        <w:t>2</w:t>
      </w:r>
      <w:r>
        <w:rPr>
          <w:rFonts w:eastAsia="仿宋_GB2312"/>
          <w:sz w:val="24"/>
        </w:rPr>
        <w:t>提高其产量，从而养活更多的人口。设施蔬菜具有节能、高效、高投入、高产出和半密闭环境的特点，是开展富碳农业产业创新链的首选产业。</w:t>
      </w:r>
      <w:r>
        <w:rPr>
          <w:rFonts w:hint="eastAsia" w:eastAsia="仿宋_GB2312"/>
          <w:sz w:val="24"/>
        </w:rPr>
        <w:t>本规程依托</w:t>
      </w:r>
      <w:r>
        <w:rPr>
          <w:rFonts w:eastAsia="仿宋_GB2312"/>
          <w:sz w:val="24"/>
        </w:rPr>
        <w:t>2014</w:t>
      </w:r>
      <w:r>
        <w:rPr>
          <w:rFonts w:hint="eastAsia" w:eastAsia="仿宋_GB2312"/>
          <w:sz w:val="24"/>
        </w:rPr>
        <w:t>年山西省煤基重大科技攻关项目“设施蔬菜高效固碳技术研究与示范”，其修订也符合目前“碳达峰和碳中和”的国家战略，具有山西特色。同时关于西芹生产均无国家标准和行业标准，本标准的制定修订对指导生产就显得非常必要。</w:t>
      </w:r>
    </w:p>
    <w:p>
      <w:pPr>
        <w:spacing w:line="360" w:lineRule="auto"/>
        <w:ind w:firstLine="480" w:firstLineChars="200"/>
        <w:rPr>
          <w:rFonts w:eastAsia="仿宋_GB2312"/>
          <w:sz w:val="24"/>
        </w:rPr>
      </w:pPr>
      <w:r>
        <w:rPr>
          <w:rFonts w:eastAsia="仿宋_GB2312"/>
          <w:sz w:val="24"/>
        </w:rPr>
        <w:t>芹菜是日光温室种植的主要叶菜，研究表明，芹菜施用CO</w:t>
      </w:r>
      <w:r>
        <w:rPr>
          <w:rFonts w:eastAsia="仿宋_GB2312"/>
          <w:sz w:val="24"/>
          <w:vertAlign w:val="subscript"/>
        </w:rPr>
        <w:t>2</w:t>
      </w:r>
      <w:r>
        <w:rPr>
          <w:rFonts w:eastAsia="仿宋_GB2312"/>
          <w:sz w:val="24"/>
        </w:rPr>
        <w:t>有明显的增产效果，生长速度加快，采收期明显提早，经济效益显著。近年来轻简化栽培技术的广泛应用，CO</w:t>
      </w:r>
      <w:r>
        <w:rPr>
          <w:rFonts w:eastAsia="仿宋_GB2312"/>
          <w:sz w:val="24"/>
          <w:vertAlign w:val="subscript"/>
        </w:rPr>
        <w:t>2</w:t>
      </w:r>
      <w:r>
        <w:rPr>
          <w:rFonts w:eastAsia="仿宋_GB2312"/>
          <w:sz w:val="24"/>
        </w:rPr>
        <w:t>增施办法的简便高效，迫使本标准做出修订，推动蔬菜产业朝现代化方向发展。</w:t>
      </w:r>
    </w:p>
    <w:p>
      <w:pPr>
        <w:spacing w:line="360" w:lineRule="auto"/>
        <w:ind w:firstLine="480" w:firstLineChars="200"/>
        <w:outlineLvl w:val="0"/>
        <w:rPr>
          <w:rFonts w:ascii="黑体" w:eastAsia="黑体"/>
          <w:sz w:val="24"/>
        </w:rPr>
      </w:pPr>
      <w:r>
        <w:rPr>
          <w:rFonts w:ascii="黑体" w:eastAsia="黑体"/>
          <w:sz w:val="24"/>
        </w:rPr>
        <w:t>三、主要</w:t>
      </w:r>
      <w:r>
        <w:rPr>
          <w:rFonts w:hint="eastAsia" w:ascii="黑体" w:eastAsia="黑体"/>
          <w:sz w:val="24"/>
        </w:rPr>
        <w:t>修订</w:t>
      </w:r>
      <w:r>
        <w:rPr>
          <w:rFonts w:ascii="黑体" w:eastAsia="黑体"/>
          <w:sz w:val="24"/>
        </w:rPr>
        <w:t>工作过程</w:t>
      </w:r>
    </w:p>
    <w:p>
      <w:pPr>
        <w:spacing w:line="400" w:lineRule="exact"/>
        <w:ind w:firstLine="480" w:firstLineChars="200"/>
        <w:rPr>
          <w:rFonts w:eastAsia="仿宋_GB2312"/>
          <w:bCs/>
          <w:sz w:val="24"/>
        </w:rPr>
      </w:pPr>
      <w:r>
        <w:rPr>
          <w:rFonts w:hint="eastAsia" w:eastAsia="仿宋_GB2312"/>
          <w:bCs/>
          <w:sz w:val="24"/>
        </w:rPr>
        <w:t>1、成立标准修订工作组</w:t>
      </w:r>
    </w:p>
    <w:p>
      <w:pPr>
        <w:spacing w:line="360" w:lineRule="auto"/>
        <w:ind w:firstLine="480" w:firstLineChars="200"/>
        <w:rPr>
          <w:rFonts w:eastAsia="仿宋_GB2312"/>
          <w:sz w:val="24"/>
        </w:rPr>
      </w:pPr>
      <w:r>
        <w:rPr>
          <w:rFonts w:eastAsia="仿宋_GB2312"/>
          <w:sz w:val="24"/>
        </w:rPr>
        <w:t>接到项目任务以后，我们积极组织技术骨干成立《</w:t>
      </w:r>
      <w:r>
        <w:rPr>
          <w:rFonts w:hint="eastAsia" w:eastAsia="仿宋_GB2312"/>
          <w:sz w:val="24"/>
        </w:rPr>
        <w:t>设施蔬菜固碳生产技术规程</w:t>
      </w:r>
      <w:r>
        <w:rPr>
          <w:rFonts w:eastAsia="仿宋_GB2312"/>
          <w:sz w:val="24"/>
        </w:rPr>
        <w:t xml:space="preserve">  日光温室西芹》</w:t>
      </w:r>
      <w:r>
        <w:rPr>
          <w:rFonts w:hint="eastAsia" w:eastAsia="仿宋_GB2312"/>
          <w:sz w:val="24"/>
        </w:rPr>
        <w:t>修订</w:t>
      </w:r>
      <w:r>
        <w:rPr>
          <w:rFonts w:eastAsia="仿宋_GB2312"/>
          <w:sz w:val="24"/>
        </w:rPr>
        <w:t>工作组</w:t>
      </w:r>
      <w:r>
        <w:rPr>
          <w:rFonts w:hint="eastAsia" w:eastAsia="仿宋_GB2312"/>
          <w:sz w:val="24"/>
        </w:rPr>
        <w:t>，</w:t>
      </w:r>
      <w:r>
        <w:rPr>
          <w:rFonts w:eastAsia="仿宋_GB2312"/>
          <w:sz w:val="24"/>
        </w:rPr>
        <w:t>工作组成员具有较丰富的专业知识和实践经验，熟悉业务，了解标准化工作的相关规定并具有较强的文字表达能力。工作组成立后，认真学习了</w:t>
      </w:r>
      <w:bookmarkStart w:id="0" w:name="_Hlk156055769"/>
      <w:r>
        <w:rPr>
          <w:rFonts w:hint="eastAsia" w:eastAsia="仿宋_GB2312"/>
          <w:sz w:val="24"/>
        </w:rPr>
        <w:t>GB/T 1.1-2020《标准化工作导则 第1部分：标准化文件的结构和起草规则》</w:t>
      </w:r>
      <w:bookmarkEnd w:id="0"/>
      <w:r>
        <w:rPr>
          <w:rFonts w:eastAsia="仿宋_GB2312"/>
          <w:sz w:val="24"/>
        </w:rPr>
        <w:t>和相关的国家标准与地方标准，制定了工作计划，明确了内部分工及进度要求，责任落实到人。</w:t>
      </w:r>
    </w:p>
    <w:p>
      <w:pPr>
        <w:spacing w:line="400" w:lineRule="exact"/>
        <w:ind w:firstLine="480" w:firstLineChars="200"/>
        <w:rPr>
          <w:rFonts w:eastAsia="仿宋_GB2312"/>
          <w:bCs/>
          <w:sz w:val="24"/>
        </w:rPr>
      </w:pPr>
      <w:r>
        <w:rPr>
          <w:rFonts w:hint="eastAsia" w:eastAsia="仿宋_GB2312"/>
          <w:bCs/>
          <w:sz w:val="24"/>
        </w:rPr>
        <w:t>2、调研考察</w:t>
      </w:r>
    </w:p>
    <w:p>
      <w:pPr>
        <w:autoSpaceDE w:val="0"/>
        <w:autoSpaceDN w:val="0"/>
        <w:adjustRightInd w:val="0"/>
        <w:spacing w:line="360" w:lineRule="auto"/>
        <w:ind w:firstLine="480" w:firstLineChars="200"/>
        <w:jc w:val="left"/>
        <w:rPr>
          <w:rFonts w:eastAsia="仿宋_GB2312"/>
          <w:sz w:val="24"/>
        </w:rPr>
      </w:pPr>
      <w:r>
        <w:rPr>
          <w:rFonts w:hint="eastAsia" w:eastAsia="仿宋_GB2312"/>
          <w:sz w:val="24"/>
        </w:rPr>
        <w:t>为了解日光温室芹菜的生产现状，</w:t>
      </w:r>
      <w:r>
        <w:rPr>
          <w:rFonts w:eastAsia="仿宋_GB2312"/>
          <w:sz w:val="24"/>
        </w:rPr>
        <w:t>2023</w:t>
      </w:r>
      <w:r>
        <w:rPr>
          <w:rFonts w:hint="eastAsia" w:eastAsia="仿宋_GB2312"/>
          <w:sz w:val="24"/>
        </w:rPr>
        <w:t>年先后几次分别到山西榆次、洪洞、曲沃、新绛、长治和晋城调研，广泛听取相关部门和农户的意见和建议。</w:t>
      </w:r>
    </w:p>
    <w:p>
      <w:pPr>
        <w:spacing w:line="400" w:lineRule="exact"/>
        <w:ind w:firstLine="480" w:firstLineChars="200"/>
        <w:rPr>
          <w:rFonts w:eastAsia="仿宋_GB2312"/>
          <w:bCs/>
          <w:sz w:val="24"/>
        </w:rPr>
      </w:pPr>
      <w:r>
        <w:rPr>
          <w:rFonts w:hint="eastAsia" w:eastAsia="仿宋_GB2312"/>
          <w:bCs/>
          <w:sz w:val="24"/>
        </w:rPr>
        <w:t>3、收集资料</w:t>
      </w:r>
    </w:p>
    <w:p>
      <w:pPr>
        <w:spacing w:line="360" w:lineRule="auto"/>
        <w:ind w:firstLine="480" w:firstLineChars="200"/>
        <w:jc w:val="left"/>
        <w:rPr>
          <w:rFonts w:eastAsia="仿宋_GB2312"/>
          <w:sz w:val="24"/>
        </w:rPr>
      </w:pPr>
      <w:r>
        <w:rPr>
          <w:rFonts w:hint="eastAsia" w:eastAsia="仿宋_GB2312"/>
          <w:sz w:val="24"/>
        </w:rPr>
        <w:t>查阅文献，收集相关的国家、行业和地方标准，充分讨论后结合近年的田间实施、试验数据撰写修订稿。</w:t>
      </w:r>
    </w:p>
    <w:p>
      <w:pPr>
        <w:spacing w:line="400" w:lineRule="exact"/>
        <w:ind w:firstLine="480" w:firstLineChars="200"/>
        <w:rPr>
          <w:rFonts w:eastAsia="仿宋_GB2312"/>
          <w:bCs/>
          <w:sz w:val="24"/>
        </w:rPr>
      </w:pPr>
      <w:r>
        <w:rPr>
          <w:rFonts w:hint="eastAsia" w:eastAsia="仿宋_GB2312"/>
          <w:bCs/>
          <w:sz w:val="24"/>
        </w:rPr>
        <w:t>4、修订文本</w:t>
      </w:r>
    </w:p>
    <w:p>
      <w:pPr>
        <w:spacing w:line="360" w:lineRule="auto"/>
        <w:ind w:firstLine="480" w:firstLineChars="200"/>
        <w:rPr>
          <w:rFonts w:eastAsia="仿宋_GB2312"/>
          <w:sz w:val="24"/>
        </w:rPr>
      </w:pPr>
      <w:r>
        <w:rPr>
          <w:rFonts w:hint="eastAsia" w:eastAsia="仿宋_GB2312"/>
          <w:sz w:val="24"/>
        </w:rPr>
        <w:t>根据标委会的要求认真修订文本，并发出征求意见表，形成征求意见稿的本文和编制说明。</w:t>
      </w:r>
    </w:p>
    <w:p>
      <w:pPr>
        <w:spacing w:line="400" w:lineRule="exact"/>
        <w:ind w:firstLine="480" w:firstLineChars="200"/>
        <w:rPr>
          <w:rFonts w:eastAsia="仿宋_GB2312"/>
          <w:bCs/>
          <w:sz w:val="24"/>
        </w:rPr>
      </w:pPr>
      <w:r>
        <w:rPr>
          <w:rFonts w:hint="eastAsia" w:eastAsia="仿宋_GB2312"/>
          <w:bCs/>
          <w:sz w:val="24"/>
        </w:rPr>
        <w:t>5、技术评审</w:t>
      </w:r>
    </w:p>
    <w:p>
      <w:pPr>
        <w:spacing w:line="360" w:lineRule="auto"/>
        <w:ind w:firstLine="480" w:firstLineChars="200"/>
        <w:rPr>
          <w:rFonts w:eastAsia="仿宋_GB2312"/>
          <w:bCs/>
          <w:sz w:val="24"/>
        </w:rPr>
      </w:pPr>
      <w:r>
        <w:rPr>
          <w:rFonts w:eastAsia="仿宋_GB2312"/>
          <w:bCs/>
          <w:sz w:val="24"/>
        </w:rPr>
        <w:t>2024年</w:t>
      </w:r>
      <w:r>
        <w:rPr>
          <w:rFonts w:hint="eastAsia" w:eastAsia="仿宋_GB2312"/>
          <w:bCs/>
          <w:sz w:val="24"/>
        </w:rPr>
        <w:t>3</w:t>
      </w:r>
      <w:r>
        <w:rPr>
          <w:rFonts w:eastAsia="仿宋_GB2312"/>
          <w:bCs/>
          <w:sz w:val="24"/>
        </w:rPr>
        <w:t>月</w:t>
      </w:r>
      <w:r>
        <w:rPr>
          <w:rFonts w:hint="eastAsia" w:eastAsia="仿宋_GB2312"/>
          <w:bCs/>
          <w:sz w:val="24"/>
        </w:rPr>
        <w:t>21</w:t>
      </w:r>
      <w:r>
        <w:rPr>
          <w:rFonts w:eastAsia="仿宋_GB2312"/>
          <w:bCs/>
          <w:sz w:val="24"/>
        </w:rPr>
        <w:t>日，</w:t>
      </w:r>
      <w:r>
        <w:rPr>
          <w:rFonts w:hint="eastAsia" w:eastAsia="仿宋_GB2312"/>
          <w:bCs/>
          <w:sz w:val="24"/>
        </w:rPr>
        <w:t>标委会对标准文本和编制说明进行评审。</w:t>
      </w:r>
    </w:p>
    <w:p>
      <w:pPr>
        <w:numPr>
          <w:ilvl w:val="0"/>
          <w:numId w:val="3"/>
        </w:numPr>
        <w:spacing w:line="400" w:lineRule="exact"/>
        <w:ind w:firstLine="480" w:firstLineChars="200"/>
        <w:rPr>
          <w:rFonts w:eastAsia="仿宋_GB2312"/>
          <w:bCs/>
          <w:sz w:val="24"/>
        </w:rPr>
      </w:pPr>
      <w:r>
        <w:rPr>
          <w:rFonts w:hint="eastAsia" w:eastAsia="仿宋_GB2312"/>
          <w:bCs/>
          <w:sz w:val="24"/>
        </w:rPr>
        <w:t>征求意见</w:t>
      </w:r>
    </w:p>
    <w:p>
      <w:pPr>
        <w:spacing w:line="360" w:lineRule="auto"/>
        <w:ind w:firstLine="480" w:firstLineChars="200"/>
        <w:rPr>
          <w:rFonts w:eastAsia="仿宋_GB2312"/>
          <w:bCs/>
          <w:sz w:val="24"/>
        </w:rPr>
      </w:pPr>
      <w:r>
        <w:rPr>
          <w:rFonts w:hint="eastAsia" w:eastAsia="仿宋_GB2312"/>
          <w:bCs/>
          <w:sz w:val="24"/>
        </w:rPr>
        <w:t>评审后，报省市场监督管理局挂网向社会公开征求意见1个月。</w:t>
      </w:r>
    </w:p>
    <w:p>
      <w:pPr>
        <w:numPr>
          <w:ilvl w:val="0"/>
          <w:numId w:val="3"/>
        </w:numPr>
        <w:spacing w:line="400" w:lineRule="exact"/>
        <w:ind w:firstLine="480" w:firstLineChars="200"/>
        <w:rPr>
          <w:rFonts w:eastAsia="仿宋_GB2312"/>
          <w:bCs/>
          <w:sz w:val="24"/>
        </w:rPr>
      </w:pPr>
      <w:r>
        <w:rPr>
          <w:rFonts w:hint="eastAsia" w:eastAsia="仿宋_GB2312"/>
          <w:bCs/>
          <w:sz w:val="24"/>
        </w:rPr>
        <w:t>完善文本</w:t>
      </w:r>
    </w:p>
    <w:p>
      <w:pPr>
        <w:spacing w:line="360" w:lineRule="auto"/>
        <w:ind w:firstLine="480" w:firstLineChars="200"/>
        <w:rPr>
          <w:rFonts w:eastAsia="仿宋_GB2312"/>
          <w:bCs/>
          <w:sz w:val="24"/>
        </w:rPr>
      </w:pPr>
      <w:r>
        <w:rPr>
          <w:rFonts w:hint="eastAsia" w:eastAsia="仿宋_GB2312"/>
          <w:bCs/>
          <w:sz w:val="24"/>
        </w:rPr>
        <w:t>进一步修改完善后形成标准送审稿，</w:t>
      </w:r>
      <w:r>
        <w:rPr>
          <w:rFonts w:eastAsia="仿宋_GB2312"/>
          <w:bCs/>
          <w:sz w:val="24"/>
        </w:rPr>
        <w:t>2024年X月X日，</w:t>
      </w:r>
      <w:r>
        <w:rPr>
          <w:rFonts w:hint="eastAsia" w:eastAsia="仿宋_GB2312"/>
          <w:bCs/>
          <w:sz w:val="24"/>
        </w:rPr>
        <w:t>标委会表决。</w:t>
      </w:r>
    </w:p>
    <w:p>
      <w:pPr>
        <w:numPr>
          <w:ilvl w:val="0"/>
          <w:numId w:val="3"/>
        </w:numPr>
        <w:spacing w:line="400" w:lineRule="exact"/>
        <w:ind w:firstLine="480" w:firstLineChars="200"/>
        <w:rPr>
          <w:rFonts w:eastAsia="仿宋_GB2312"/>
          <w:bCs/>
          <w:sz w:val="24"/>
        </w:rPr>
      </w:pPr>
      <w:r>
        <w:rPr>
          <w:rFonts w:hint="eastAsia" w:eastAsia="仿宋_GB2312"/>
          <w:bCs/>
          <w:sz w:val="24"/>
        </w:rPr>
        <w:t>形成报批稿、提交报批材料</w:t>
      </w:r>
    </w:p>
    <w:p>
      <w:pPr>
        <w:spacing w:line="360" w:lineRule="auto"/>
        <w:ind w:firstLine="480" w:firstLineChars="200"/>
        <w:rPr>
          <w:rFonts w:eastAsia="仿宋_GB2312"/>
          <w:bCs/>
          <w:sz w:val="24"/>
        </w:rPr>
      </w:pPr>
      <w:r>
        <w:rPr>
          <w:rFonts w:eastAsia="仿宋_GB2312"/>
          <w:bCs/>
          <w:sz w:val="24"/>
        </w:rPr>
        <w:t>根据评审意见，起草组内部集体讨论，并充分采纳专家组意见，形成正式的标准</w:t>
      </w:r>
      <w:r>
        <w:rPr>
          <w:rFonts w:hint="eastAsia" w:eastAsia="仿宋_GB2312"/>
          <w:bCs/>
          <w:sz w:val="24"/>
        </w:rPr>
        <w:t>报批稿、提交报批材料。</w:t>
      </w:r>
    </w:p>
    <w:p>
      <w:pPr>
        <w:spacing w:line="360" w:lineRule="auto"/>
        <w:ind w:firstLine="480" w:firstLineChars="200"/>
        <w:outlineLvl w:val="0"/>
        <w:rPr>
          <w:rFonts w:ascii="黑体" w:eastAsia="黑体"/>
          <w:sz w:val="24"/>
        </w:rPr>
      </w:pPr>
      <w:r>
        <w:rPr>
          <w:rFonts w:hint="eastAsia" w:ascii="黑体" w:eastAsia="黑体"/>
          <w:sz w:val="24"/>
        </w:rPr>
        <w:t>四</w:t>
      </w:r>
      <w:r>
        <w:rPr>
          <w:rFonts w:ascii="黑体" w:eastAsia="黑体"/>
          <w:sz w:val="24"/>
        </w:rPr>
        <w:t>、</w:t>
      </w:r>
      <w:r>
        <w:rPr>
          <w:rFonts w:hint="eastAsia" w:ascii="黑体" w:eastAsia="黑体"/>
          <w:sz w:val="24"/>
        </w:rPr>
        <w:t>制修</w:t>
      </w:r>
      <w:r>
        <w:rPr>
          <w:rFonts w:ascii="黑体" w:eastAsia="黑体"/>
          <w:sz w:val="24"/>
        </w:rPr>
        <w:t>订标准的原则和依据，与现行法律、法规、标准的关系</w:t>
      </w:r>
    </w:p>
    <w:p>
      <w:pPr>
        <w:ind w:firstLine="480" w:firstLineChars="200"/>
        <w:rPr>
          <w:rFonts w:eastAsia="仿宋_GB2312"/>
          <w:sz w:val="24"/>
        </w:rPr>
      </w:pPr>
      <w:r>
        <w:rPr>
          <w:rFonts w:eastAsia="仿宋_GB2312"/>
          <w:sz w:val="24"/>
        </w:rPr>
        <w:t>（一）编制时坚持的主要原则</w:t>
      </w:r>
    </w:p>
    <w:p>
      <w:pPr>
        <w:spacing w:line="360" w:lineRule="auto"/>
        <w:ind w:firstLine="480" w:firstLineChars="200"/>
        <w:rPr>
          <w:rFonts w:eastAsia="仿宋_GB2312"/>
          <w:sz w:val="24"/>
        </w:rPr>
      </w:pPr>
      <w:r>
        <w:rPr>
          <w:rFonts w:eastAsia="仿宋_GB2312"/>
          <w:sz w:val="24"/>
        </w:rPr>
        <w:t>本规程以</w:t>
      </w:r>
      <w:r>
        <w:rPr>
          <w:rFonts w:hint="eastAsia" w:eastAsia="仿宋_GB2312"/>
          <w:sz w:val="24"/>
        </w:rPr>
        <w:t>日光温室西芹固碳生产技术</w:t>
      </w:r>
      <w:r>
        <w:rPr>
          <w:rFonts w:eastAsia="仿宋_GB2312"/>
          <w:sz w:val="24"/>
        </w:rPr>
        <w:t>为研究对象，规定了</w:t>
      </w:r>
      <w:r>
        <w:rPr>
          <w:rFonts w:hint="eastAsia" w:eastAsia="仿宋_GB2312"/>
          <w:sz w:val="24"/>
        </w:rPr>
        <w:t>术</w:t>
      </w:r>
      <w:r>
        <w:rPr>
          <w:rFonts w:eastAsia="仿宋_GB2312"/>
          <w:sz w:val="24"/>
        </w:rPr>
        <w:t>语和定义、</w:t>
      </w:r>
      <w:r>
        <w:rPr>
          <w:rFonts w:hint="eastAsia" w:eastAsia="仿宋_GB2312"/>
          <w:sz w:val="24"/>
        </w:rPr>
        <w:t>温室结构与性能</w:t>
      </w:r>
      <w:r>
        <w:rPr>
          <w:rFonts w:eastAsia="仿宋_GB2312"/>
          <w:sz w:val="24"/>
        </w:rPr>
        <w:t>、</w:t>
      </w:r>
      <w:r>
        <w:rPr>
          <w:rFonts w:hint="eastAsia" w:eastAsia="仿宋_GB2312"/>
          <w:sz w:val="24"/>
        </w:rPr>
        <w:t>茬口安排、种苗</w:t>
      </w:r>
      <w:r>
        <w:rPr>
          <w:rFonts w:eastAsia="仿宋_GB2312"/>
          <w:sz w:val="24"/>
        </w:rPr>
        <w:t>、</w:t>
      </w:r>
      <w:r>
        <w:rPr>
          <w:rFonts w:hint="eastAsia" w:eastAsia="仿宋_GB2312"/>
          <w:sz w:val="24"/>
        </w:rPr>
        <w:t>整地施肥、定植、田间管理、二氧化碳施肥、病虫害防治、收获和生产档案等主要</w:t>
      </w:r>
      <w:r>
        <w:rPr>
          <w:rFonts w:eastAsia="仿宋_GB2312"/>
          <w:sz w:val="24"/>
        </w:rPr>
        <w:t>技术环节。</w:t>
      </w:r>
    </w:p>
    <w:p>
      <w:pPr>
        <w:autoSpaceDE w:val="0"/>
        <w:autoSpaceDN w:val="0"/>
        <w:adjustRightInd w:val="0"/>
        <w:spacing w:line="360" w:lineRule="auto"/>
        <w:ind w:firstLine="480" w:firstLineChars="200"/>
        <w:jc w:val="left"/>
        <w:rPr>
          <w:rFonts w:eastAsia="仿宋_GB2312"/>
          <w:sz w:val="24"/>
        </w:rPr>
      </w:pPr>
      <w:r>
        <w:rPr>
          <w:rFonts w:eastAsia="仿宋_GB2312"/>
          <w:sz w:val="24"/>
        </w:rPr>
        <w:t>在规程具体指标编制过程中，从山西省日光温室</w:t>
      </w:r>
      <w:r>
        <w:rPr>
          <w:rFonts w:hint="eastAsia" w:eastAsia="仿宋_GB2312"/>
          <w:sz w:val="24"/>
        </w:rPr>
        <w:t>西芹</w:t>
      </w:r>
      <w:r>
        <w:rPr>
          <w:rFonts w:eastAsia="仿宋_GB2312"/>
          <w:sz w:val="24"/>
        </w:rPr>
        <w:t>栽培的生产实际出发，坚持科学性、实用性和可操作性的原则</w:t>
      </w:r>
      <w:r>
        <w:rPr>
          <w:rFonts w:hint="eastAsia" w:eastAsia="仿宋_GB2312"/>
          <w:sz w:val="24"/>
        </w:rPr>
        <w:t>，</w:t>
      </w:r>
      <w:r>
        <w:rPr>
          <w:rFonts w:eastAsia="仿宋_GB2312"/>
          <w:sz w:val="24"/>
        </w:rPr>
        <w:t>力求轻简化，并符合当前生产</w:t>
      </w:r>
      <w:r>
        <w:rPr>
          <w:rFonts w:hint="eastAsia" w:eastAsia="仿宋_GB2312"/>
          <w:sz w:val="24"/>
        </w:rPr>
        <w:t>具体</w:t>
      </w:r>
      <w:r>
        <w:rPr>
          <w:rFonts w:eastAsia="仿宋_GB2312"/>
          <w:sz w:val="24"/>
        </w:rPr>
        <w:t>要求。</w:t>
      </w:r>
    </w:p>
    <w:p>
      <w:pPr>
        <w:autoSpaceDE w:val="0"/>
        <w:autoSpaceDN w:val="0"/>
        <w:adjustRightInd w:val="0"/>
        <w:spacing w:line="360" w:lineRule="auto"/>
        <w:ind w:firstLine="480" w:firstLineChars="200"/>
        <w:jc w:val="left"/>
        <w:rPr>
          <w:rFonts w:eastAsia="仿宋_GB2312"/>
          <w:sz w:val="24"/>
        </w:rPr>
      </w:pPr>
      <w:r>
        <w:rPr>
          <w:rFonts w:eastAsia="仿宋_GB2312"/>
          <w:sz w:val="24"/>
        </w:rPr>
        <w:t>1 科学性：本规程相关内容是项目组成员多年来各类科研项目以及调查研究的部分内容，是通过试验研究和多点调查等形成的相关内容，并经过多年试验验证和反复修正，最终形成本规程，技术参数可靠。</w:t>
      </w:r>
    </w:p>
    <w:p>
      <w:pPr>
        <w:autoSpaceDE w:val="0"/>
        <w:autoSpaceDN w:val="0"/>
        <w:adjustRightInd w:val="0"/>
        <w:spacing w:line="360" w:lineRule="auto"/>
        <w:ind w:firstLine="480" w:firstLineChars="200"/>
        <w:jc w:val="left"/>
        <w:rPr>
          <w:rFonts w:eastAsia="仿宋_GB2312"/>
          <w:sz w:val="24"/>
        </w:rPr>
      </w:pPr>
      <w:r>
        <w:rPr>
          <w:rFonts w:eastAsia="仿宋_GB2312"/>
          <w:sz w:val="24"/>
        </w:rPr>
        <w:t xml:space="preserve">2 </w:t>
      </w:r>
      <w:r>
        <w:rPr>
          <w:rFonts w:hint="eastAsia" w:eastAsia="仿宋_GB2312"/>
          <w:sz w:val="24"/>
        </w:rPr>
        <w:t>适应</w:t>
      </w:r>
      <w:r>
        <w:rPr>
          <w:rFonts w:eastAsia="仿宋_GB2312"/>
          <w:sz w:val="24"/>
        </w:rPr>
        <w:t>性：本规程围绕日光温室</w:t>
      </w:r>
      <w:r>
        <w:rPr>
          <w:rFonts w:hint="eastAsia" w:eastAsia="仿宋_GB2312"/>
          <w:sz w:val="24"/>
        </w:rPr>
        <w:t>西芹</w:t>
      </w:r>
      <w:r>
        <w:rPr>
          <w:rFonts w:eastAsia="仿宋_GB2312"/>
          <w:sz w:val="24"/>
        </w:rPr>
        <w:t>生产进行规程编制，因秋冬季种植较多，茬口明确，具有较强的</w:t>
      </w:r>
      <w:r>
        <w:rPr>
          <w:rFonts w:hint="eastAsia" w:eastAsia="仿宋_GB2312"/>
          <w:sz w:val="24"/>
        </w:rPr>
        <w:t>适应</w:t>
      </w:r>
      <w:r>
        <w:rPr>
          <w:rFonts w:eastAsia="仿宋_GB2312"/>
          <w:sz w:val="24"/>
        </w:rPr>
        <w:t>性。</w:t>
      </w:r>
    </w:p>
    <w:p>
      <w:pPr>
        <w:autoSpaceDE w:val="0"/>
        <w:autoSpaceDN w:val="0"/>
        <w:adjustRightInd w:val="0"/>
        <w:spacing w:line="360" w:lineRule="auto"/>
        <w:ind w:firstLine="480" w:firstLineChars="200"/>
        <w:jc w:val="left"/>
        <w:rPr>
          <w:rFonts w:eastAsia="仿宋_GB2312"/>
          <w:sz w:val="24"/>
        </w:rPr>
      </w:pPr>
      <w:r>
        <w:rPr>
          <w:rFonts w:eastAsia="仿宋_GB2312"/>
          <w:sz w:val="24"/>
        </w:rPr>
        <w:t xml:space="preserve">3 </w:t>
      </w:r>
      <w:r>
        <w:rPr>
          <w:rFonts w:hint="eastAsia" w:eastAsia="仿宋_GB2312"/>
          <w:sz w:val="24"/>
        </w:rPr>
        <w:t>先进</w:t>
      </w:r>
      <w:r>
        <w:rPr>
          <w:rFonts w:eastAsia="仿宋_GB2312"/>
          <w:sz w:val="24"/>
        </w:rPr>
        <w:t>性：本规程在制定过程中，结合生产实践</w:t>
      </w:r>
      <w:r>
        <w:rPr>
          <w:rFonts w:hint="eastAsia" w:eastAsia="仿宋_GB2312"/>
          <w:sz w:val="24"/>
        </w:rPr>
        <w:t>并兼顾未来发展趋势</w:t>
      </w:r>
      <w:r>
        <w:rPr>
          <w:rFonts w:eastAsia="仿宋_GB2312"/>
          <w:sz w:val="24"/>
        </w:rPr>
        <w:t>，进行了系统和规范总结，</w:t>
      </w:r>
      <w:r>
        <w:rPr>
          <w:rFonts w:hint="eastAsia" w:eastAsia="仿宋_GB2312"/>
          <w:sz w:val="24"/>
        </w:rPr>
        <w:t>代表现代化水平</w:t>
      </w:r>
      <w:r>
        <w:rPr>
          <w:rFonts w:eastAsia="仿宋_GB2312"/>
          <w:sz w:val="24"/>
        </w:rPr>
        <w:t>。</w:t>
      </w:r>
    </w:p>
    <w:p>
      <w:pPr>
        <w:autoSpaceDE w:val="0"/>
        <w:autoSpaceDN w:val="0"/>
        <w:adjustRightInd w:val="0"/>
        <w:spacing w:line="360" w:lineRule="auto"/>
        <w:ind w:firstLine="480" w:firstLineChars="200"/>
        <w:jc w:val="left"/>
        <w:rPr>
          <w:rFonts w:eastAsia="仿宋_GB2312"/>
          <w:sz w:val="24"/>
        </w:rPr>
      </w:pPr>
      <w:r>
        <w:rPr>
          <w:rFonts w:hint="eastAsia" w:eastAsia="仿宋_GB2312"/>
          <w:sz w:val="24"/>
        </w:rPr>
        <w:t>4</w:t>
      </w:r>
      <w:r>
        <w:rPr>
          <w:rFonts w:eastAsia="仿宋_GB2312"/>
          <w:sz w:val="24"/>
        </w:rPr>
        <w:t xml:space="preserve">. </w:t>
      </w:r>
      <w:r>
        <w:rPr>
          <w:rFonts w:hint="eastAsia" w:eastAsia="仿宋_GB2312"/>
          <w:sz w:val="24"/>
        </w:rPr>
        <w:t>合法性、安全性、协调性 规程制定过程中，严格按照标准法，并注重农艺措施的安全性，协调生产环节。</w:t>
      </w:r>
    </w:p>
    <w:p>
      <w:pPr>
        <w:ind w:firstLine="480" w:firstLineChars="200"/>
        <w:rPr>
          <w:rFonts w:eastAsia="仿宋_GB2312"/>
          <w:sz w:val="24"/>
        </w:rPr>
      </w:pPr>
      <w:bookmarkStart w:id="1" w:name="_Hlk156055979"/>
      <w:r>
        <w:rPr>
          <w:rFonts w:eastAsia="仿宋_GB2312"/>
          <w:sz w:val="24"/>
        </w:rPr>
        <w:t>（</w:t>
      </w:r>
      <w:r>
        <w:rPr>
          <w:rFonts w:hint="eastAsia" w:eastAsia="仿宋_GB2312"/>
          <w:sz w:val="24"/>
        </w:rPr>
        <w:t>二</w:t>
      </w:r>
      <w:r>
        <w:rPr>
          <w:rFonts w:eastAsia="仿宋_GB2312"/>
          <w:sz w:val="24"/>
        </w:rPr>
        <w:t>）编制时坚持的主要</w:t>
      </w:r>
      <w:r>
        <w:rPr>
          <w:rFonts w:hint="eastAsia" w:eastAsia="仿宋_GB2312"/>
          <w:sz w:val="24"/>
        </w:rPr>
        <w:t>依据</w:t>
      </w:r>
    </w:p>
    <w:p>
      <w:pPr>
        <w:autoSpaceDE w:val="0"/>
        <w:autoSpaceDN w:val="0"/>
        <w:adjustRightInd w:val="0"/>
        <w:spacing w:line="360" w:lineRule="auto"/>
        <w:ind w:firstLine="480" w:firstLineChars="200"/>
        <w:jc w:val="left"/>
        <w:rPr>
          <w:rFonts w:eastAsia="仿宋_GB2312"/>
          <w:sz w:val="24"/>
        </w:rPr>
      </w:pPr>
      <w:r>
        <w:rPr>
          <w:rFonts w:eastAsia="仿宋_GB2312"/>
          <w:sz w:val="24"/>
        </w:rPr>
        <w:t>本标准严格遵循国家标准、行业标准在芹菜生产方面的相关规定。本规程制定过程中参考的标准见表1。</w:t>
      </w:r>
    </w:p>
    <w:bookmarkEnd w:id="1"/>
    <w:p>
      <w:pPr>
        <w:autoSpaceDE w:val="0"/>
        <w:autoSpaceDN w:val="0"/>
        <w:adjustRightInd w:val="0"/>
        <w:spacing w:line="360" w:lineRule="auto"/>
        <w:ind w:firstLine="480" w:firstLineChars="200"/>
        <w:jc w:val="center"/>
        <w:rPr>
          <w:rFonts w:ascii="仿宋_GB2312" w:eastAsia="仿宋_GB2312"/>
          <w:sz w:val="24"/>
        </w:rPr>
      </w:pPr>
      <w:r>
        <w:rPr>
          <w:rFonts w:hint="eastAsia" w:ascii="仿宋_GB2312" w:eastAsia="仿宋_GB2312"/>
          <w:sz w:val="24"/>
        </w:rPr>
        <w:t xml:space="preserve">表1  相关参考标准   </w:t>
      </w:r>
    </w:p>
    <w:tbl>
      <w:tblPr>
        <w:tblStyle w:val="11"/>
        <w:tblW w:w="8512" w:type="dxa"/>
        <w:tblInd w:w="0" w:type="dxa"/>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21"/>
        <w:gridCol w:w="2809"/>
        <w:gridCol w:w="4682"/>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trPr>
        <w:tc>
          <w:tcPr>
            <w:tcW w:w="1021" w:type="dxa"/>
            <w:tcBorders>
              <w:bottom w:val="single" w:color="008000" w:sz="6" w:space="0"/>
            </w:tcBorders>
          </w:tcPr>
          <w:p>
            <w:pPr>
              <w:spacing w:after="240"/>
              <w:ind w:firstLine="240" w:firstLineChars="100"/>
              <w:rPr>
                <w:rFonts w:eastAsia="仿宋_GB2312"/>
                <w:b/>
                <w:color w:val="000000"/>
                <w:kern w:val="0"/>
                <w:sz w:val="24"/>
              </w:rPr>
            </w:pPr>
            <w:r>
              <w:rPr>
                <w:rFonts w:eastAsia="仿宋_GB2312"/>
                <w:b/>
                <w:color w:val="000000"/>
                <w:kern w:val="0"/>
                <w:sz w:val="24"/>
              </w:rPr>
              <w:t>编号</w:t>
            </w:r>
          </w:p>
        </w:tc>
        <w:tc>
          <w:tcPr>
            <w:tcW w:w="2809" w:type="dxa"/>
            <w:tcBorders>
              <w:bottom w:val="single" w:color="008000" w:sz="6" w:space="0"/>
            </w:tcBorders>
          </w:tcPr>
          <w:p>
            <w:pPr>
              <w:ind w:firstLine="481" w:firstLineChars="200"/>
              <w:rPr>
                <w:rFonts w:eastAsia="仿宋_GB2312"/>
                <w:b/>
                <w:color w:val="000000"/>
                <w:kern w:val="0"/>
                <w:sz w:val="24"/>
              </w:rPr>
            </w:pPr>
            <w:r>
              <w:rPr>
                <w:rFonts w:eastAsia="仿宋_GB2312"/>
                <w:b/>
                <w:color w:val="000000"/>
                <w:kern w:val="0"/>
                <w:sz w:val="24"/>
              </w:rPr>
              <w:t>标准号</w:t>
            </w:r>
          </w:p>
        </w:tc>
        <w:tc>
          <w:tcPr>
            <w:tcW w:w="4682" w:type="dxa"/>
            <w:tcBorders>
              <w:bottom w:val="single" w:color="008000" w:sz="6" w:space="0"/>
            </w:tcBorders>
          </w:tcPr>
          <w:p>
            <w:pPr>
              <w:ind w:firstLine="481" w:firstLineChars="200"/>
              <w:jc w:val="center"/>
              <w:rPr>
                <w:rFonts w:eastAsia="仿宋_GB2312"/>
                <w:b/>
                <w:color w:val="000000"/>
                <w:kern w:val="0"/>
                <w:sz w:val="24"/>
              </w:rPr>
            </w:pPr>
            <w:r>
              <w:rPr>
                <w:rFonts w:eastAsia="仿宋_GB2312"/>
                <w:b/>
                <w:color w:val="000000"/>
                <w:kern w:val="0"/>
                <w:sz w:val="24"/>
              </w:rPr>
              <w:t>标准名称</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21" w:type="dxa"/>
            <w:vAlign w:val="center"/>
          </w:tcPr>
          <w:p>
            <w:pPr>
              <w:spacing w:line="360" w:lineRule="auto"/>
              <w:ind w:firstLine="480" w:firstLineChars="200"/>
              <w:jc w:val="center"/>
              <w:rPr>
                <w:rFonts w:eastAsia="仿宋_GB2312"/>
                <w:color w:val="000000"/>
                <w:kern w:val="0"/>
                <w:sz w:val="24"/>
              </w:rPr>
            </w:pPr>
            <w:r>
              <w:rPr>
                <w:rFonts w:eastAsia="仿宋_GB2312"/>
                <w:color w:val="000000"/>
                <w:kern w:val="0"/>
                <w:sz w:val="24"/>
              </w:rPr>
              <w:t>1</w:t>
            </w:r>
          </w:p>
        </w:tc>
        <w:tc>
          <w:tcPr>
            <w:tcW w:w="2809" w:type="dxa"/>
            <w:vAlign w:val="center"/>
          </w:tcPr>
          <w:p>
            <w:pPr>
              <w:pStyle w:val="18"/>
              <w:spacing w:line="360" w:lineRule="auto"/>
              <w:ind w:firstLine="480"/>
              <w:rPr>
                <w:rFonts w:ascii="Times New Roman" w:eastAsia="仿宋_GB2312"/>
                <w:sz w:val="24"/>
                <w:szCs w:val="24"/>
              </w:rPr>
            </w:pPr>
            <w:r>
              <w:rPr>
                <w:rFonts w:ascii="Times New Roman" w:eastAsia="仿宋_GB2312"/>
                <w:sz w:val="24"/>
                <w:szCs w:val="24"/>
              </w:rPr>
              <w:t>GB 16715.5</w:t>
            </w:r>
          </w:p>
        </w:tc>
        <w:tc>
          <w:tcPr>
            <w:tcW w:w="4682" w:type="dxa"/>
            <w:vAlign w:val="center"/>
          </w:tcPr>
          <w:p>
            <w:pPr>
              <w:spacing w:line="360" w:lineRule="auto"/>
              <w:ind w:firstLine="480" w:firstLineChars="200"/>
              <w:rPr>
                <w:rFonts w:eastAsia="仿宋_GB2312"/>
                <w:sz w:val="24"/>
              </w:rPr>
            </w:pPr>
            <w:r>
              <w:rPr>
                <w:rFonts w:eastAsia="仿宋_GB2312"/>
                <w:sz w:val="24"/>
              </w:rPr>
              <w:t>瓜菜作物种子 第5部分: 绿叶菜类</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1021" w:type="dxa"/>
            <w:vAlign w:val="center"/>
          </w:tcPr>
          <w:p>
            <w:pPr>
              <w:spacing w:line="360" w:lineRule="auto"/>
              <w:ind w:firstLine="480" w:firstLineChars="200"/>
              <w:jc w:val="center"/>
              <w:rPr>
                <w:rFonts w:eastAsia="仿宋_GB2312"/>
                <w:color w:val="000000"/>
                <w:kern w:val="0"/>
                <w:sz w:val="24"/>
              </w:rPr>
            </w:pPr>
            <w:r>
              <w:rPr>
                <w:rFonts w:eastAsia="仿宋_GB2312"/>
                <w:color w:val="000000"/>
                <w:kern w:val="0"/>
                <w:sz w:val="24"/>
              </w:rPr>
              <w:t>2</w:t>
            </w:r>
          </w:p>
        </w:tc>
        <w:tc>
          <w:tcPr>
            <w:tcW w:w="2809" w:type="dxa"/>
            <w:vAlign w:val="center"/>
          </w:tcPr>
          <w:p>
            <w:pPr>
              <w:pStyle w:val="18"/>
              <w:spacing w:line="360" w:lineRule="auto"/>
              <w:ind w:firstLine="480"/>
              <w:rPr>
                <w:rFonts w:ascii="Times New Roman" w:eastAsia="仿宋_GB2312"/>
                <w:sz w:val="24"/>
                <w:szCs w:val="24"/>
              </w:rPr>
            </w:pPr>
            <w:r>
              <w:rPr>
                <w:rFonts w:ascii="Times New Roman" w:eastAsia="仿宋_GB2312"/>
                <w:sz w:val="24"/>
                <w:szCs w:val="24"/>
              </w:rPr>
              <w:t>NY/T 2119</w:t>
            </w:r>
          </w:p>
        </w:tc>
        <w:tc>
          <w:tcPr>
            <w:tcW w:w="4682" w:type="dxa"/>
            <w:vAlign w:val="center"/>
          </w:tcPr>
          <w:p>
            <w:pPr>
              <w:pStyle w:val="18"/>
              <w:spacing w:line="360" w:lineRule="auto"/>
              <w:ind w:firstLine="480"/>
              <w:rPr>
                <w:rFonts w:ascii="Times New Roman" w:eastAsia="仿宋_GB2312"/>
                <w:sz w:val="24"/>
                <w:szCs w:val="24"/>
              </w:rPr>
            </w:pPr>
            <w:r>
              <w:rPr>
                <w:rFonts w:ascii="Times New Roman" w:eastAsia="仿宋_GB2312"/>
                <w:sz w:val="24"/>
                <w:szCs w:val="24"/>
              </w:rPr>
              <w:t>蔬菜穴盘育苗 通则</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1021" w:type="dxa"/>
            <w:vAlign w:val="center"/>
          </w:tcPr>
          <w:p>
            <w:pPr>
              <w:spacing w:line="360" w:lineRule="auto"/>
              <w:ind w:firstLine="480" w:firstLineChars="200"/>
              <w:jc w:val="center"/>
              <w:rPr>
                <w:rFonts w:eastAsia="仿宋_GB2312"/>
                <w:color w:val="000000"/>
                <w:kern w:val="0"/>
                <w:sz w:val="24"/>
              </w:rPr>
            </w:pPr>
            <w:r>
              <w:rPr>
                <w:rFonts w:eastAsia="仿宋_GB2312"/>
                <w:color w:val="000000"/>
                <w:kern w:val="0"/>
                <w:sz w:val="24"/>
              </w:rPr>
              <w:t>3</w:t>
            </w:r>
          </w:p>
        </w:tc>
        <w:tc>
          <w:tcPr>
            <w:tcW w:w="2809" w:type="dxa"/>
            <w:vAlign w:val="center"/>
          </w:tcPr>
          <w:p>
            <w:pPr>
              <w:pStyle w:val="3"/>
              <w:shd w:val="clear" w:color="auto" w:fill="FFFFFF"/>
              <w:spacing w:before="0" w:after="0" w:line="360" w:lineRule="auto"/>
              <w:ind w:left="210" w:leftChars="100" w:firstLine="240" w:firstLineChars="100"/>
              <w:rPr>
                <w:rFonts w:eastAsia="仿宋_GB2312"/>
                <w:b w:val="0"/>
                <w:sz w:val="24"/>
                <w:szCs w:val="24"/>
              </w:rPr>
            </w:pPr>
            <w:r>
              <w:rPr>
                <w:rFonts w:eastAsia="仿宋_GB2312"/>
                <w:b w:val="0"/>
                <w:bCs w:val="0"/>
                <w:kern w:val="0"/>
                <w:sz w:val="24"/>
                <w:szCs w:val="24"/>
                <w:lang w:eastAsia="zh-CN"/>
              </w:rPr>
              <w:t>DB14/T 1287</w:t>
            </w:r>
          </w:p>
        </w:tc>
        <w:tc>
          <w:tcPr>
            <w:tcW w:w="4682" w:type="dxa"/>
          </w:tcPr>
          <w:p>
            <w:pPr>
              <w:pStyle w:val="18"/>
              <w:spacing w:line="360" w:lineRule="auto"/>
              <w:ind w:firstLine="480"/>
              <w:rPr>
                <w:rFonts w:ascii="Times New Roman" w:eastAsia="仿宋_GB2312"/>
                <w:sz w:val="24"/>
                <w:szCs w:val="24"/>
              </w:rPr>
            </w:pPr>
            <w:r>
              <w:rPr>
                <w:rFonts w:ascii="Times New Roman" w:eastAsia="仿宋_GB2312"/>
                <w:sz w:val="24"/>
                <w:szCs w:val="24"/>
              </w:rPr>
              <w:t>高效固碳日光温室结构与性能要求</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1021" w:type="dxa"/>
          </w:tcPr>
          <w:p>
            <w:pPr>
              <w:spacing w:line="360" w:lineRule="auto"/>
              <w:ind w:firstLine="480" w:firstLineChars="200"/>
              <w:jc w:val="center"/>
              <w:rPr>
                <w:rFonts w:eastAsia="仿宋_GB2312"/>
                <w:color w:val="000000"/>
                <w:kern w:val="0"/>
                <w:sz w:val="24"/>
              </w:rPr>
            </w:pPr>
            <w:r>
              <w:rPr>
                <w:rFonts w:eastAsia="仿宋_GB2312"/>
                <w:color w:val="000000"/>
                <w:kern w:val="0"/>
                <w:sz w:val="24"/>
              </w:rPr>
              <w:t>4</w:t>
            </w:r>
          </w:p>
        </w:tc>
        <w:tc>
          <w:tcPr>
            <w:tcW w:w="2809" w:type="dxa"/>
            <w:vAlign w:val="center"/>
          </w:tcPr>
          <w:p>
            <w:pPr>
              <w:spacing w:line="360" w:lineRule="auto"/>
              <w:ind w:firstLine="480" w:firstLineChars="200"/>
              <w:rPr>
                <w:rFonts w:eastAsia="仿宋_GB2312"/>
                <w:kern w:val="0"/>
                <w:sz w:val="24"/>
              </w:rPr>
            </w:pPr>
            <w:r>
              <w:rPr>
                <w:rFonts w:eastAsia="仿宋_GB2312"/>
                <w:kern w:val="0"/>
                <w:sz w:val="24"/>
              </w:rPr>
              <w:t>DB14/T 1295</w:t>
            </w:r>
          </w:p>
        </w:tc>
        <w:tc>
          <w:tcPr>
            <w:tcW w:w="4682" w:type="dxa"/>
          </w:tcPr>
          <w:p>
            <w:pPr>
              <w:widowControl/>
              <w:spacing w:line="360" w:lineRule="auto"/>
              <w:ind w:firstLine="480" w:firstLineChars="200"/>
              <w:rPr>
                <w:rFonts w:eastAsia="仿宋_GB2312"/>
                <w:sz w:val="24"/>
              </w:rPr>
            </w:pPr>
            <w:r>
              <w:rPr>
                <w:rFonts w:eastAsia="仿宋_GB2312"/>
                <w:sz w:val="24"/>
              </w:rPr>
              <w:t>日光温室二氧化碳施肥技术规程</w:t>
            </w:r>
          </w:p>
        </w:tc>
      </w:tr>
    </w:tbl>
    <w:p>
      <w:pPr>
        <w:pStyle w:val="5"/>
        <w:spacing w:after="0" w:line="360" w:lineRule="auto"/>
        <w:ind w:firstLine="481" w:firstLineChars="200"/>
        <w:rPr>
          <w:rFonts w:ascii="楷体" w:hAnsi="楷体" w:eastAsia="楷体"/>
          <w:b/>
          <w:sz w:val="24"/>
        </w:rPr>
      </w:pPr>
      <w:bookmarkStart w:id="2" w:name="_Hlk156056011"/>
      <w:r>
        <w:rPr>
          <w:rFonts w:hint="eastAsia" w:ascii="楷体" w:hAnsi="楷体" w:eastAsia="楷体"/>
          <w:b/>
          <w:sz w:val="24"/>
        </w:rPr>
        <w:t>（三）</w:t>
      </w:r>
      <w:r>
        <w:rPr>
          <w:rFonts w:ascii="楷体" w:hAnsi="楷体" w:eastAsia="楷体"/>
          <w:b/>
          <w:sz w:val="24"/>
        </w:rPr>
        <w:t>与有关现行法律、法规的关系</w:t>
      </w:r>
    </w:p>
    <w:p>
      <w:pPr>
        <w:spacing w:line="360" w:lineRule="auto"/>
        <w:ind w:firstLine="480" w:firstLineChars="200"/>
        <w:rPr>
          <w:sz w:val="24"/>
        </w:rPr>
      </w:pPr>
      <w:r>
        <w:rPr>
          <w:rFonts w:eastAsia="仿宋_GB2312"/>
          <w:sz w:val="24"/>
        </w:rPr>
        <w:t>本标准从</w:t>
      </w:r>
      <w:r>
        <w:rPr>
          <w:rFonts w:hint="eastAsia" w:eastAsia="仿宋_GB2312"/>
          <w:sz w:val="24"/>
        </w:rPr>
        <w:t>温室芹菜固碳生产技术</w:t>
      </w:r>
      <w:r>
        <w:rPr>
          <w:rFonts w:eastAsia="仿宋_GB2312"/>
          <w:sz w:val="24"/>
        </w:rPr>
        <w:t>实际要求出发，</w:t>
      </w:r>
      <w:r>
        <w:rPr>
          <w:rFonts w:hint="eastAsia" w:eastAsia="仿宋_GB2312"/>
          <w:sz w:val="24"/>
        </w:rPr>
        <w:t>在现行法律法规的框架内起草，</w:t>
      </w:r>
      <w:r>
        <w:rPr>
          <w:rFonts w:eastAsia="仿宋_GB2312"/>
          <w:sz w:val="24"/>
        </w:rPr>
        <w:t>结合山西省当地实际情况进行制定，</w:t>
      </w:r>
      <w:r>
        <w:rPr>
          <w:rFonts w:hint="eastAsia" w:eastAsia="仿宋_GB2312"/>
          <w:sz w:val="24"/>
        </w:rPr>
        <w:t>符合</w:t>
      </w:r>
      <w:r>
        <w:rPr>
          <w:rFonts w:eastAsia="仿宋_GB2312"/>
          <w:sz w:val="24"/>
        </w:rPr>
        <w:t>现行法律、法规和强制性标准</w:t>
      </w:r>
      <w:r>
        <w:rPr>
          <w:rFonts w:hint="eastAsia" w:eastAsia="仿宋_GB2312"/>
          <w:sz w:val="24"/>
        </w:rPr>
        <w:t>的相关</w:t>
      </w:r>
      <w:r>
        <w:rPr>
          <w:rFonts w:eastAsia="仿宋_GB2312"/>
          <w:sz w:val="24"/>
        </w:rPr>
        <w:t>条款</w:t>
      </w:r>
      <w:r>
        <w:rPr>
          <w:sz w:val="24"/>
        </w:rPr>
        <w:t>。</w:t>
      </w:r>
    </w:p>
    <w:bookmarkEnd w:id="2"/>
    <w:p>
      <w:pPr>
        <w:spacing w:line="360" w:lineRule="auto"/>
        <w:ind w:firstLine="480" w:firstLineChars="200"/>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spacing w:line="360" w:lineRule="auto"/>
        <w:ind w:firstLine="480" w:firstLineChars="200"/>
        <w:rPr>
          <w:rFonts w:eastAsia="仿宋_GB2312"/>
          <w:bCs/>
          <w:sz w:val="24"/>
        </w:rPr>
      </w:pPr>
      <w:r>
        <w:rPr>
          <w:rFonts w:hint="eastAsia" w:eastAsia="仿宋_GB2312"/>
          <w:bCs/>
          <w:sz w:val="24"/>
        </w:rPr>
        <w:t>标准起草组以“合法性、安全性、适应性、协调性和先进性”为修订原则，以文本结构更加合理、表述更加准确、技术指标更加科学为修订目标，从8个方面对文本进行了修订，其中：</w:t>
      </w:r>
    </w:p>
    <w:p>
      <w:pPr>
        <w:spacing w:line="360" w:lineRule="auto"/>
        <w:ind w:firstLine="480" w:firstLineChars="200"/>
        <w:rPr>
          <w:rFonts w:eastAsia="仿宋_GB2312"/>
          <w:bCs/>
          <w:sz w:val="24"/>
        </w:rPr>
      </w:pPr>
      <w:r>
        <w:rPr>
          <w:rFonts w:hint="eastAsia" w:eastAsia="仿宋_GB2312"/>
          <w:bCs/>
          <w:sz w:val="24"/>
        </w:rPr>
        <w:t>1、涉及结构性调整的1项。</w:t>
      </w:r>
    </w:p>
    <w:p>
      <w:pPr>
        <w:spacing w:line="360" w:lineRule="auto"/>
        <w:ind w:firstLine="480" w:firstLineChars="200"/>
        <w:rPr>
          <w:rFonts w:eastAsia="仿宋_GB2312"/>
          <w:bCs/>
          <w:sz w:val="24"/>
        </w:rPr>
      </w:pPr>
      <w:r>
        <w:rPr>
          <w:rFonts w:hint="eastAsia" w:eastAsia="仿宋_GB2312"/>
          <w:bCs/>
          <w:sz w:val="24"/>
        </w:rPr>
        <w:t>删除了引用文件的NY/T 5092，目前已经废止。</w:t>
      </w:r>
    </w:p>
    <w:p>
      <w:pPr>
        <w:spacing w:line="360" w:lineRule="auto"/>
        <w:ind w:firstLine="480" w:firstLineChars="200"/>
        <w:rPr>
          <w:rFonts w:eastAsia="仿宋_GB2312"/>
          <w:bCs/>
          <w:sz w:val="24"/>
        </w:rPr>
      </w:pPr>
      <w:r>
        <w:rPr>
          <w:rFonts w:hint="eastAsia" w:eastAsia="仿宋_GB2312"/>
          <w:bCs/>
          <w:sz w:val="24"/>
        </w:rPr>
        <w:t>2、涉及表述与编辑性修改的主要有7项：</w:t>
      </w:r>
    </w:p>
    <w:p>
      <w:pPr>
        <w:spacing w:line="360" w:lineRule="auto"/>
        <w:ind w:firstLine="480" w:firstLineChars="200"/>
        <w:rPr>
          <w:rFonts w:ascii="仿宋_GB2312" w:hAnsi="宋体" w:eastAsia="仿宋_GB2312"/>
          <w:sz w:val="24"/>
        </w:rPr>
      </w:pPr>
      <w:r>
        <w:rPr>
          <w:rFonts w:hint="eastAsia" w:eastAsia="仿宋_GB2312"/>
          <w:bCs/>
          <w:sz w:val="24"/>
        </w:rPr>
        <w:t>（1）条款</w:t>
      </w:r>
      <w:r>
        <w:rPr>
          <w:rFonts w:eastAsia="仿宋_GB2312"/>
          <w:bCs/>
          <w:sz w:val="24"/>
        </w:rPr>
        <w:t>6.2</w:t>
      </w:r>
      <w:r>
        <w:rPr>
          <w:rFonts w:hint="eastAsia" w:eastAsia="仿宋_GB2312"/>
          <w:bCs/>
          <w:sz w:val="24"/>
        </w:rPr>
        <w:t>育苗穴盘增加200孔。修订原因及试验验证分析：机械化育苗过程中经常采用该穴盘规格。</w:t>
      </w:r>
    </w:p>
    <w:p>
      <w:pPr>
        <w:spacing w:line="360" w:lineRule="auto"/>
        <w:ind w:firstLine="480" w:firstLineChars="200"/>
        <w:rPr>
          <w:rFonts w:eastAsia="仿宋_GB2312"/>
          <w:bCs/>
          <w:sz w:val="24"/>
        </w:rPr>
      </w:pPr>
      <w:r>
        <w:rPr>
          <w:rFonts w:hint="eastAsia" w:eastAsia="仿宋_GB2312"/>
          <w:bCs/>
          <w:sz w:val="24"/>
        </w:rPr>
        <w:t>（2）条款7增加了碳能肥和秸秆使用。修订原因：这两种办法在补充二氧化碳方面均有较好效果，而且还可以改良土壤。</w:t>
      </w:r>
    </w:p>
    <w:p>
      <w:pPr>
        <w:spacing w:line="360" w:lineRule="auto"/>
        <w:ind w:firstLine="480" w:firstLineChars="200"/>
        <w:rPr>
          <w:rFonts w:eastAsia="仿宋_GB2312"/>
          <w:bCs/>
          <w:sz w:val="24"/>
        </w:rPr>
      </w:pPr>
      <w:r>
        <w:rPr>
          <w:rFonts w:hint="eastAsia" w:eastAsia="仿宋_GB2312"/>
          <w:bCs/>
          <w:sz w:val="24"/>
        </w:rPr>
        <w:t>（3）条款7增加了利用深耕机深耕土壤。修订原因：近年来设施机械化使用频率增加，符合目前产业发展趋势。</w:t>
      </w:r>
    </w:p>
    <w:p>
      <w:pPr>
        <w:spacing w:line="360" w:lineRule="auto"/>
        <w:ind w:firstLine="480" w:firstLineChars="200"/>
        <w:rPr>
          <w:rFonts w:eastAsia="仿宋_GB2312"/>
          <w:bCs/>
          <w:sz w:val="24"/>
        </w:rPr>
      </w:pPr>
      <w:r>
        <w:rPr>
          <w:rFonts w:hint="eastAsia" w:eastAsia="仿宋_GB2312"/>
          <w:bCs/>
          <w:sz w:val="24"/>
        </w:rPr>
        <w:t>（4）条款7更改了畦宽，修订原因：农户可根据设施条件设置畦宽，方便生产。</w:t>
      </w:r>
    </w:p>
    <w:p>
      <w:pPr>
        <w:spacing w:line="360" w:lineRule="auto"/>
        <w:ind w:firstLine="480" w:firstLineChars="200"/>
        <w:rPr>
          <w:rFonts w:eastAsia="仿宋_GB2312"/>
          <w:bCs/>
          <w:sz w:val="24"/>
        </w:rPr>
      </w:pPr>
      <w:r>
        <w:rPr>
          <w:rFonts w:hint="eastAsia" w:eastAsia="仿宋_GB2312"/>
          <w:bCs/>
          <w:sz w:val="24"/>
        </w:rPr>
        <w:t>（5）条款7有机肥施用量范围增加3</w:t>
      </w:r>
      <w:r>
        <w:rPr>
          <w:rFonts w:eastAsia="仿宋_GB2312"/>
          <w:bCs/>
          <w:sz w:val="24"/>
        </w:rPr>
        <w:t>000-5000kg</w:t>
      </w:r>
      <w:r>
        <w:rPr>
          <w:rFonts w:hint="eastAsia" w:eastAsia="仿宋_GB2312"/>
          <w:bCs/>
          <w:sz w:val="24"/>
        </w:rPr>
        <w:t>。修订原因及试验验证分析：各地在参考标准时可根据各自土壤肥力施用肥量。</w:t>
      </w:r>
    </w:p>
    <w:p>
      <w:pPr>
        <w:spacing w:line="360" w:lineRule="auto"/>
        <w:ind w:firstLine="480" w:firstLineChars="200"/>
        <w:rPr>
          <w:rFonts w:eastAsia="仿宋_GB2312"/>
          <w:bCs/>
          <w:sz w:val="24"/>
        </w:rPr>
      </w:pPr>
      <w:r>
        <w:rPr>
          <w:rFonts w:hint="eastAsia" w:ascii="仿宋_GB2312" w:hAnsi="宋体" w:eastAsia="仿宋_GB2312"/>
          <w:sz w:val="24"/>
        </w:rPr>
        <w:t>（6）</w:t>
      </w:r>
      <w:r>
        <w:rPr>
          <w:rFonts w:hint="eastAsia" w:eastAsia="仿宋_GB2312"/>
          <w:bCs/>
          <w:sz w:val="24"/>
        </w:rPr>
        <w:t>条款</w:t>
      </w:r>
      <w:r>
        <w:rPr>
          <w:rFonts w:eastAsia="仿宋_GB2312"/>
          <w:bCs/>
          <w:sz w:val="24"/>
        </w:rPr>
        <w:t>9.2</w:t>
      </w:r>
      <w:r>
        <w:rPr>
          <w:rFonts w:hint="eastAsia" w:eastAsia="仿宋_GB2312"/>
          <w:bCs/>
          <w:sz w:val="24"/>
        </w:rPr>
        <w:t>删除了“铺黑色地膜”。修订原因：芹菜因密度较大，铺设地膜不太方便。</w:t>
      </w:r>
    </w:p>
    <w:p>
      <w:pPr>
        <w:spacing w:line="360" w:lineRule="auto"/>
        <w:ind w:firstLine="480" w:firstLineChars="200"/>
        <w:rPr>
          <w:rFonts w:eastAsia="仿宋_GB2312"/>
          <w:bCs/>
          <w:sz w:val="24"/>
        </w:rPr>
      </w:pPr>
      <w:r>
        <w:rPr>
          <w:rFonts w:hint="eastAsia" w:ascii="仿宋_GB2312" w:hAnsi="宋体" w:eastAsia="仿宋_GB2312"/>
          <w:sz w:val="24"/>
        </w:rPr>
        <w:t>（7）</w:t>
      </w:r>
      <w:r>
        <w:rPr>
          <w:rFonts w:hint="eastAsia" w:eastAsia="仿宋_GB2312"/>
          <w:bCs/>
          <w:sz w:val="24"/>
        </w:rPr>
        <w:t>条款</w:t>
      </w:r>
      <w:r>
        <w:rPr>
          <w:rFonts w:eastAsia="仿宋_GB2312"/>
          <w:bCs/>
          <w:sz w:val="24"/>
        </w:rPr>
        <w:t>10.3</w:t>
      </w:r>
      <w:r>
        <w:rPr>
          <w:rFonts w:hint="eastAsia" w:eastAsia="仿宋_GB2312"/>
          <w:bCs/>
          <w:sz w:val="24"/>
        </w:rPr>
        <w:t>修改了施肥方法。修订原因：根据</w:t>
      </w:r>
      <w:r>
        <w:rPr>
          <w:rFonts w:eastAsia="仿宋_GB2312"/>
          <w:bCs/>
          <w:sz w:val="24"/>
        </w:rPr>
        <w:t>DB14/T 1295</w:t>
      </w:r>
      <w:r>
        <w:rPr>
          <w:rFonts w:hint="eastAsia" w:eastAsia="仿宋_GB2312"/>
          <w:bCs/>
          <w:sz w:val="24"/>
        </w:rPr>
        <w:t>的具体方法。</w:t>
      </w:r>
    </w:p>
    <w:p>
      <w:pPr>
        <w:spacing w:line="360" w:lineRule="auto"/>
        <w:ind w:firstLine="480" w:firstLineChars="200"/>
        <w:rPr>
          <w:rFonts w:eastAsia="仿宋_GB2312"/>
          <w:bCs/>
          <w:sz w:val="24"/>
        </w:rPr>
      </w:pPr>
      <w:r>
        <w:rPr>
          <w:rFonts w:hint="eastAsia" w:eastAsia="仿宋_GB2312"/>
          <w:bCs/>
          <w:sz w:val="24"/>
        </w:rPr>
        <w:t>3、试验验证</w:t>
      </w:r>
    </w:p>
    <w:p>
      <w:pPr>
        <w:spacing w:line="360" w:lineRule="auto"/>
        <w:ind w:firstLine="480" w:firstLineChars="200"/>
        <w:rPr>
          <w:rFonts w:eastAsia="仿宋_GB2312"/>
          <w:bCs/>
          <w:sz w:val="24"/>
        </w:rPr>
      </w:pPr>
      <w:r>
        <w:rPr>
          <w:rFonts w:hint="eastAsia" w:eastAsia="仿宋_GB2312"/>
          <w:bCs/>
          <w:sz w:val="24"/>
        </w:rPr>
        <w:t>3.1种植密度变小</w:t>
      </w:r>
    </w:p>
    <w:p>
      <w:pPr>
        <w:spacing w:line="360" w:lineRule="auto"/>
        <w:ind w:firstLine="480" w:firstLineChars="200"/>
        <w:rPr>
          <w:rFonts w:eastAsia="仿宋_GB2312"/>
          <w:bCs/>
          <w:sz w:val="24"/>
        </w:rPr>
      </w:pPr>
      <w:r>
        <w:rPr>
          <w:rFonts w:eastAsia="仿宋_GB2312"/>
          <w:bCs/>
          <w:sz w:val="24"/>
        </w:rPr>
        <w:t>201</w:t>
      </w:r>
      <w:r>
        <w:rPr>
          <w:rFonts w:hint="eastAsia" w:eastAsia="仿宋_GB2312"/>
          <w:bCs/>
          <w:sz w:val="24"/>
        </w:rPr>
        <w:t>6年秋季和</w:t>
      </w:r>
      <w:r>
        <w:rPr>
          <w:rFonts w:eastAsia="仿宋_GB2312"/>
          <w:bCs/>
          <w:sz w:val="24"/>
        </w:rPr>
        <w:t>201</w:t>
      </w:r>
      <w:r>
        <w:rPr>
          <w:rFonts w:hint="eastAsia" w:eastAsia="仿宋_GB2312"/>
          <w:bCs/>
          <w:sz w:val="24"/>
        </w:rPr>
        <w:t>7年春季在山西农业大学园艺站进行试验。</w:t>
      </w:r>
      <w:r>
        <w:rPr>
          <w:rFonts w:eastAsia="仿宋_GB2312"/>
          <w:bCs/>
          <w:sz w:val="24"/>
        </w:rPr>
        <w:t>由表1可以看出</w:t>
      </w:r>
      <w:r>
        <w:rPr>
          <w:rFonts w:hint="eastAsia" w:eastAsia="仿宋_GB2312"/>
          <w:bCs/>
          <w:sz w:val="24"/>
        </w:rPr>
        <w:t>，</w:t>
      </w:r>
      <w:r>
        <w:rPr>
          <w:rFonts w:eastAsia="仿宋_GB2312"/>
          <w:bCs/>
          <w:sz w:val="24"/>
        </w:rPr>
        <w:t>增施CO</w:t>
      </w:r>
      <w:r>
        <w:rPr>
          <w:rFonts w:eastAsia="仿宋_GB2312"/>
          <w:bCs/>
          <w:sz w:val="24"/>
          <w:vertAlign w:val="subscript"/>
        </w:rPr>
        <w:t>2</w:t>
      </w:r>
      <w:r>
        <w:rPr>
          <w:rFonts w:eastAsia="仿宋_GB2312"/>
          <w:bCs/>
          <w:sz w:val="24"/>
        </w:rPr>
        <w:t>后，西芹光饱和点升高，光补偿点降低，这表明增施CO</w:t>
      </w:r>
      <w:r>
        <w:rPr>
          <w:rFonts w:eastAsia="仿宋_GB2312"/>
          <w:bCs/>
          <w:sz w:val="24"/>
          <w:vertAlign w:val="subscript"/>
        </w:rPr>
        <w:t>2</w:t>
      </w:r>
      <w:r>
        <w:rPr>
          <w:rFonts w:eastAsia="仿宋_GB2312"/>
          <w:bCs/>
          <w:sz w:val="24"/>
        </w:rPr>
        <w:t>可以增加温室中有效辐射光的时长，提高西芹光合作用。同时，增施CO</w:t>
      </w:r>
      <w:r>
        <w:rPr>
          <w:rFonts w:eastAsia="仿宋_GB2312"/>
          <w:bCs/>
          <w:sz w:val="24"/>
          <w:vertAlign w:val="subscript"/>
        </w:rPr>
        <w:t>2</w:t>
      </w:r>
      <w:r>
        <w:rPr>
          <w:rFonts w:eastAsia="仿宋_GB2312"/>
          <w:bCs/>
          <w:sz w:val="24"/>
        </w:rPr>
        <w:t>后，西芹的净光合速率极显著增加，这充分表明，增施CO</w:t>
      </w:r>
      <w:r>
        <w:rPr>
          <w:rFonts w:eastAsia="仿宋_GB2312"/>
          <w:bCs/>
          <w:sz w:val="24"/>
          <w:vertAlign w:val="subscript"/>
        </w:rPr>
        <w:t>2</w:t>
      </w:r>
      <w:r>
        <w:rPr>
          <w:rFonts w:eastAsia="仿宋_GB2312"/>
          <w:bCs/>
          <w:sz w:val="24"/>
        </w:rPr>
        <w:t>可以极显著的提高西芹的光合作用。</w:t>
      </w:r>
    </w:p>
    <w:p>
      <w:pPr>
        <w:spacing w:line="360" w:lineRule="auto"/>
        <w:jc w:val="center"/>
        <w:rPr>
          <w:rFonts w:eastAsia="黑体"/>
          <w:szCs w:val="21"/>
        </w:rPr>
      </w:pPr>
    </w:p>
    <w:p>
      <w:pPr>
        <w:spacing w:line="360" w:lineRule="auto"/>
        <w:jc w:val="center"/>
        <w:rPr>
          <w:rFonts w:eastAsia="黑体"/>
          <w:szCs w:val="21"/>
        </w:rPr>
      </w:pPr>
    </w:p>
    <w:p>
      <w:pPr>
        <w:spacing w:line="360" w:lineRule="auto"/>
        <w:jc w:val="center"/>
        <w:rPr>
          <w:rFonts w:eastAsia="仿宋_GB2312"/>
          <w:sz w:val="24"/>
        </w:rPr>
      </w:pPr>
      <w:r>
        <w:rPr>
          <w:rFonts w:eastAsia="仿宋_GB2312"/>
          <w:sz w:val="24"/>
        </w:rPr>
        <w:t>表1  CO</w:t>
      </w:r>
      <w:r>
        <w:rPr>
          <w:rFonts w:eastAsia="仿宋_GB2312"/>
          <w:sz w:val="24"/>
          <w:vertAlign w:val="subscript"/>
        </w:rPr>
        <w:t>2</w:t>
      </w:r>
      <w:r>
        <w:rPr>
          <w:rFonts w:eastAsia="仿宋_GB2312"/>
          <w:sz w:val="24"/>
        </w:rPr>
        <w:t>加富对芹菜光合参数的影响</w:t>
      </w:r>
    </w:p>
    <w:tbl>
      <w:tblPr>
        <w:tblStyle w:val="12"/>
        <w:tblW w:w="7654"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8"/>
        <w:gridCol w:w="1969"/>
        <w:gridCol w:w="2126"/>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1858" w:type="dxa"/>
            <w:tcBorders>
              <w:left w:val="nil"/>
              <w:bottom w:val="single" w:color="auto" w:sz="4" w:space="0"/>
              <w:right w:val="nil"/>
            </w:tcBorders>
            <w:shd w:val="clear" w:color="000000" w:fill="FFFFFF"/>
            <w:vAlign w:val="center"/>
          </w:tcPr>
          <w:p>
            <w:pPr>
              <w:widowControl/>
              <w:spacing w:line="360" w:lineRule="auto"/>
              <w:jc w:val="center"/>
              <w:rPr>
                <w:rFonts w:eastAsia="仿宋_GB2312"/>
                <w:sz w:val="28"/>
                <w:szCs w:val="28"/>
              </w:rPr>
            </w:pPr>
          </w:p>
        </w:tc>
        <w:tc>
          <w:tcPr>
            <w:tcW w:w="1969" w:type="dxa"/>
            <w:tcBorders>
              <w:left w:val="nil"/>
              <w:bottom w:val="single" w:color="auto" w:sz="4" w:space="0"/>
              <w:right w:val="nil"/>
            </w:tcBorders>
            <w:shd w:val="clear" w:color="auto" w:fill="FFFFFF"/>
            <w:vAlign w:val="center"/>
          </w:tcPr>
          <w:p>
            <w:pPr>
              <w:widowControl/>
              <w:spacing w:line="360" w:lineRule="auto"/>
              <w:jc w:val="center"/>
              <w:rPr>
                <w:rFonts w:eastAsia="仿宋_GB2312"/>
                <w:color w:val="000000"/>
                <w:szCs w:val="21"/>
              </w:rPr>
            </w:pPr>
            <w:r>
              <w:rPr>
                <w:rFonts w:eastAsia="仿宋_GB2312"/>
                <w:color w:val="000000"/>
                <w:kern w:val="0"/>
                <w:szCs w:val="21"/>
              </w:rPr>
              <w:t>净光合速率</w:t>
            </w:r>
          </w:p>
          <w:p>
            <w:pPr>
              <w:widowControl/>
              <w:spacing w:line="360" w:lineRule="auto"/>
              <w:jc w:val="center"/>
              <w:rPr>
                <w:rFonts w:eastAsia="仿宋_GB2312"/>
                <w:szCs w:val="21"/>
              </w:rPr>
            </w:pPr>
            <w:r>
              <w:rPr>
                <w:rFonts w:eastAsia="仿宋_GB2312"/>
                <w:color w:val="000000"/>
                <w:kern w:val="0"/>
                <w:szCs w:val="21"/>
              </w:rPr>
              <w:t>(μmol CO</w:t>
            </w:r>
            <w:r>
              <w:rPr>
                <w:rFonts w:eastAsia="仿宋_GB2312"/>
                <w:color w:val="000000"/>
                <w:kern w:val="0"/>
                <w:szCs w:val="21"/>
                <w:vertAlign w:val="subscript"/>
              </w:rPr>
              <w:t>2</w:t>
            </w:r>
            <w:r>
              <w:rPr>
                <w:rFonts w:eastAsia="仿宋_GB2312"/>
                <w:color w:val="000000"/>
                <w:kern w:val="0"/>
                <w:szCs w:val="21"/>
              </w:rPr>
              <w:t xml:space="preserve"> m</w:t>
            </w:r>
            <w:r>
              <w:rPr>
                <w:rFonts w:eastAsia="仿宋_GB2312"/>
                <w:color w:val="000000"/>
                <w:kern w:val="0"/>
                <w:szCs w:val="21"/>
                <w:vertAlign w:val="superscript"/>
              </w:rPr>
              <w:t>-2</w:t>
            </w:r>
            <w:r>
              <w:rPr>
                <w:rFonts w:eastAsia="仿宋_GB2312"/>
                <w:color w:val="000000"/>
                <w:kern w:val="0"/>
                <w:szCs w:val="21"/>
              </w:rPr>
              <w:t xml:space="preserve"> s</w:t>
            </w:r>
            <w:r>
              <w:rPr>
                <w:rFonts w:eastAsia="仿宋_GB2312"/>
                <w:color w:val="000000"/>
                <w:kern w:val="0"/>
                <w:szCs w:val="21"/>
                <w:vertAlign w:val="superscript"/>
              </w:rPr>
              <w:t>-1</w:t>
            </w:r>
            <w:r>
              <w:rPr>
                <w:rFonts w:eastAsia="仿宋_GB2312"/>
                <w:color w:val="000000"/>
                <w:kern w:val="0"/>
                <w:szCs w:val="21"/>
              </w:rPr>
              <w:t>)</w:t>
            </w:r>
          </w:p>
        </w:tc>
        <w:tc>
          <w:tcPr>
            <w:tcW w:w="2126" w:type="dxa"/>
            <w:tcBorders>
              <w:left w:val="nil"/>
              <w:bottom w:val="single" w:color="auto" w:sz="4" w:space="0"/>
              <w:right w:val="nil"/>
            </w:tcBorders>
            <w:shd w:val="clear" w:color="auto" w:fill="FFFFFF"/>
            <w:vAlign w:val="center"/>
          </w:tcPr>
          <w:p>
            <w:pPr>
              <w:spacing w:line="360" w:lineRule="auto"/>
              <w:jc w:val="center"/>
              <w:rPr>
                <w:rFonts w:eastAsia="仿宋_GB2312"/>
                <w:color w:val="000000"/>
                <w:szCs w:val="21"/>
              </w:rPr>
            </w:pPr>
            <w:r>
              <w:rPr>
                <w:rFonts w:eastAsia="仿宋_GB2312"/>
                <w:color w:val="000000"/>
                <w:szCs w:val="21"/>
              </w:rPr>
              <w:t>光补偿点</w:t>
            </w:r>
          </w:p>
          <w:p>
            <w:pPr>
              <w:spacing w:line="360" w:lineRule="auto"/>
              <w:jc w:val="center"/>
              <w:rPr>
                <w:rFonts w:eastAsia="仿宋_GB2312"/>
                <w:szCs w:val="21"/>
              </w:rPr>
            </w:pPr>
            <w:r>
              <w:rPr>
                <w:rFonts w:eastAsia="仿宋_GB2312"/>
                <w:color w:val="000000"/>
                <w:szCs w:val="21"/>
              </w:rPr>
              <w:t>(</w:t>
            </w:r>
            <w:r>
              <w:rPr>
                <w:rFonts w:eastAsia="仿宋_GB2312"/>
                <w:color w:val="000000"/>
                <w:kern w:val="0"/>
                <w:szCs w:val="21"/>
              </w:rPr>
              <w:t>μmol m</w:t>
            </w:r>
            <w:r>
              <w:rPr>
                <w:rFonts w:eastAsia="仿宋_GB2312"/>
                <w:color w:val="000000"/>
                <w:kern w:val="0"/>
                <w:szCs w:val="21"/>
                <w:vertAlign w:val="superscript"/>
              </w:rPr>
              <w:t>-2</w:t>
            </w:r>
            <w:r>
              <w:rPr>
                <w:rFonts w:eastAsia="仿宋_GB2312"/>
                <w:color w:val="000000"/>
                <w:kern w:val="0"/>
                <w:szCs w:val="21"/>
              </w:rPr>
              <w:t xml:space="preserve"> s</w:t>
            </w:r>
            <w:r>
              <w:rPr>
                <w:rFonts w:eastAsia="仿宋_GB2312"/>
                <w:color w:val="000000"/>
                <w:kern w:val="0"/>
                <w:szCs w:val="21"/>
                <w:vertAlign w:val="superscript"/>
              </w:rPr>
              <w:t>-1</w:t>
            </w:r>
            <w:r>
              <w:rPr>
                <w:rFonts w:eastAsia="仿宋_GB2312"/>
                <w:color w:val="000000"/>
                <w:kern w:val="0"/>
                <w:szCs w:val="21"/>
              </w:rPr>
              <w:t>)</w:t>
            </w:r>
          </w:p>
        </w:tc>
        <w:tc>
          <w:tcPr>
            <w:tcW w:w="1701" w:type="dxa"/>
            <w:tcBorders>
              <w:left w:val="nil"/>
              <w:bottom w:val="single" w:color="auto" w:sz="4" w:space="0"/>
              <w:right w:val="nil"/>
            </w:tcBorders>
            <w:shd w:val="clear" w:color="auto" w:fill="FFFFFF"/>
            <w:vAlign w:val="center"/>
          </w:tcPr>
          <w:p>
            <w:pPr>
              <w:spacing w:line="360" w:lineRule="auto"/>
              <w:jc w:val="center"/>
              <w:rPr>
                <w:rFonts w:eastAsia="仿宋_GB2312"/>
                <w:color w:val="000000"/>
                <w:szCs w:val="21"/>
              </w:rPr>
            </w:pPr>
            <w:r>
              <w:rPr>
                <w:rFonts w:eastAsia="仿宋_GB2312"/>
                <w:color w:val="000000"/>
                <w:szCs w:val="21"/>
              </w:rPr>
              <w:t>光饱和点</w:t>
            </w:r>
          </w:p>
          <w:p>
            <w:pPr>
              <w:spacing w:line="360" w:lineRule="auto"/>
              <w:jc w:val="center"/>
              <w:rPr>
                <w:rFonts w:eastAsia="仿宋_GB2312"/>
                <w:szCs w:val="21"/>
              </w:rPr>
            </w:pPr>
            <w:r>
              <w:rPr>
                <w:rFonts w:eastAsia="仿宋_GB2312"/>
                <w:color w:val="000000"/>
                <w:szCs w:val="21"/>
              </w:rPr>
              <w:t>(</w:t>
            </w:r>
            <w:r>
              <w:rPr>
                <w:rFonts w:eastAsia="仿宋_GB2312"/>
                <w:color w:val="000000"/>
                <w:kern w:val="0"/>
                <w:szCs w:val="21"/>
              </w:rPr>
              <w:t>μmol m</w:t>
            </w:r>
            <w:r>
              <w:rPr>
                <w:rFonts w:eastAsia="仿宋_GB2312"/>
                <w:color w:val="000000"/>
                <w:kern w:val="0"/>
                <w:szCs w:val="21"/>
                <w:vertAlign w:val="superscript"/>
              </w:rPr>
              <w:t>-2</w:t>
            </w:r>
            <w:r>
              <w:rPr>
                <w:rFonts w:eastAsia="仿宋_GB2312"/>
                <w:color w:val="000000"/>
                <w:kern w:val="0"/>
                <w:szCs w:val="21"/>
              </w:rPr>
              <w:t xml:space="preserve"> s</w:t>
            </w:r>
            <w:r>
              <w:rPr>
                <w:rFonts w:eastAsia="仿宋_GB2312"/>
                <w:color w:val="000000"/>
                <w:kern w:val="0"/>
                <w:szCs w:val="21"/>
                <w:vertAlign w:val="superscript"/>
              </w:rPr>
              <w:t>-1</w:t>
            </w:r>
            <w:r>
              <w:rPr>
                <w:rFonts w:eastAsia="仿宋_GB2312"/>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858" w:type="dxa"/>
            <w:tcBorders>
              <w:top w:val="single" w:color="auto" w:sz="4" w:space="0"/>
              <w:left w:val="nil"/>
              <w:bottom w:val="nil"/>
              <w:right w:val="nil"/>
            </w:tcBorders>
            <w:shd w:val="clear" w:color="auto" w:fill="FFFFFF"/>
            <w:vAlign w:val="center"/>
          </w:tcPr>
          <w:p>
            <w:pPr>
              <w:spacing w:line="360" w:lineRule="auto"/>
              <w:jc w:val="center"/>
              <w:rPr>
                <w:rFonts w:eastAsia="仿宋_GB2312"/>
                <w:color w:val="000000"/>
                <w:kern w:val="0"/>
                <w:szCs w:val="21"/>
              </w:rPr>
            </w:pPr>
            <w:r>
              <w:rPr>
                <w:rFonts w:eastAsia="仿宋_GB2312"/>
                <w:color w:val="000000"/>
                <w:kern w:val="0"/>
                <w:szCs w:val="21"/>
              </w:rPr>
              <w:t>富碳</w:t>
            </w:r>
          </w:p>
        </w:tc>
        <w:tc>
          <w:tcPr>
            <w:tcW w:w="1969" w:type="dxa"/>
            <w:tcBorders>
              <w:top w:val="single" w:color="auto" w:sz="4" w:space="0"/>
              <w:left w:val="nil"/>
              <w:bottom w:val="nil"/>
              <w:right w:val="nil"/>
            </w:tcBorders>
            <w:shd w:val="clear" w:color="auto" w:fill="FFFFFF"/>
            <w:vAlign w:val="center"/>
          </w:tcPr>
          <w:p>
            <w:pPr>
              <w:widowControl/>
              <w:spacing w:line="360" w:lineRule="auto"/>
              <w:jc w:val="center"/>
              <w:rPr>
                <w:rFonts w:eastAsia="仿宋_GB2312"/>
                <w:szCs w:val="21"/>
              </w:rPr>
            </w:pPr>
            <w:r>
              <w:rPr>
                <w:rFonts w:eastAsia="仿宋_GB2312"/>
                <w:color w:val="000000"/>
                <w:szCs w:val="21"/>
              </w:rPr>
              <w:t>21.8</w:t>
            </w:r>
            <w:r>
              <w:rPr>
                <w:rFonts w:eastAsia="仿宋_GB2312"/>
                <w:bCs/>
                <w:color w:val="000000"/>
                <w:kern w:val="15"/>
                <w:szCs w:val="21"/>
              </w:rPr>
              <w:t>±</w:t>
            </w:r>
            <w:r>
              <w:rPr>
                <w:rFonts w:eastAsia="仿宋_GB2312"/>
                <w:color w:val="000000"/>
                <w:szCs w:val="21"/>
              </w:rPr>
              <w:t xml:space="preserve">0.17 </w:t>
            </w:r>
            <w:r>
              <w:rPr>
                <w:rFonts w:eastAsia="仿宋_GB2312"/>
                <w:color w:val="000000"/>
                <w:kern w:val="0"/>
                <w:szCs w:val="21"/>
              </w:rPr>
              <w:t>A</w:t>
            </w:r>
          </w:p>
        </w:tc>
        <w:tc>
          <w:tcPr>
            <w:tcW w:w="2126" w:type="dxa"/>
            <w:tcBorders>
              <w:top w:val="single" w:color="auto" w:sz="4" w:space="0"/>
              <w:left w:val="nil"/>
              <w:bottom w:val="nil"/>
              <w:right w:val="nil"/>
            </w:tcBorders>
            <w:shd w:val="clear" w:color="auto" w:fill="FFFFFF"/>
            <w:vAlign w:val="center"/>
          </w:tcPr>
          <w:p>
            <w:pPr>
              <w:spacing w:line="360" w:lineRule="auto"/>
              <w:jc w:val="center"/>
              <w:rPr>
                <w:rFonts w:eastAsia="仿宋_GB2312"/>
                <w:szCs w:val="21"/>
              </w:rPr>
            </w:pPr>
            <w:r>
              <w:rPr>
                <w:rFonts w:eastAsia="仿宋_GB2312"/>
                <w:color w:val="000000"/>
                <w:szCs w:val="21"/>
              </w:rPr>
              <w:t>25.2</w:t>
            </w:r>
          </w:p>
        </w:tc>
        <w:tc>
          <w:tcPr>
            <w:tcW w:w="1701" w:type="dxa"/>
            <w:tcBorders>
              <w:top w:val="single" w:color="auto" w:sz="4" w:space="0"/>
              <w:left w:val="nil"/>
              <w:bottom w:val="nil"/>
              <w:right w:val="nil"/>
            </w:tcBorders>
            <w:shd w:val="clear" w:color="auto" w:fill="FFFFFF"/>
            <w:vAlign w:val="center"/>
          </w:tcPr>
          <w:p>
            <w:pPr>
              <w:spacing w:line="360" w:lineRule="auto"/>
              <w:jc w:val="center"/>
              <w:rPr>
                <w:rFonts w:eastAsia="仿宋_GB2312"/>
                <w:szCs w:val="21"/>
              </w:rPr>
            </w:pPr>
            <w:r>
              <w:rPr>
                <w:rFonts w:eastAsia="仿宋_GB2312"/>
                <w:color w:val="000000"/>
                <w:szCs w:val="21"/>
              </w:rPr>
              <w:t>1519.2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858" w:type="dxa"/>
            <w:tcBorders>
              <w:top w:val="nil"/>
              <w:left w:val="nil"/>
              <w:right w:val="nil"/>
            </w:tcBorders>
            <w:shd w:val="clear" w:color="auto" w:fill="FFFFFF"/>
            <w:vAlign w:val="center"/>
          </w:tcPr>
          <w:p>
            <w:pPr>
              <w:widowControl/>
              <w:spacing w:line="360" w:lineRule="auto"/>
              <w:jc w:val="center"/>
              <w:rPr>
                <w:rFonts w:eastAsia="仿宋_GB2312"/>
                <w:color w:val="000000"/>
                <w:szCs w:val="21"/>
              </w:rPr>
            </w:pPr>
            <w:r>
              <w:rPr>
                <w:rFonts w:eastAsia="仿宋_GB2312"/>
                <w:color w:val="000000"/>
                <w:szCs w:val="21"/>
              </w:rPr>
              <w:t>对照</w:t>
            </w:r>
          </w:p>
        </w:tc>
        <w:tc>
          <w:tcPr>
            <w:tcW w:w="1969" w:type="dxa"/>
            <w:tcBorders>
              <w:top w:val="nil"/>
              <w:left w:val="nil"/>
              <w:right w:val="nil"/>
            </w:tcBorders>
            <w:shd w:val="clear" w:color="auto" w:fill="FFFFFF"/>
            <w:vAlign w:val="center"/>
          </w:tcPr>
          <w:p>
            <w:pPr>
              <w:widowControl/>
              <w:spacing w:line="360" w:lineRule="auto"/>
              <w:jc w:val="center"/>
              <w:rPr>
                <w:rFonts w:eastAsia="仿宋_GB2312"/>
                <w:szCs w:val="21"/>
              </w:rPr>
            </w:pPr>
            <w:r>
              <w:rPr>
                <w:rFonts w:eastAsia="仿宋_GB2312"/>
                <w:color w:val="000000"/>
                <w:szCs w:val="21"/>
              </w:rPr>
              <w:t>12.3</w:t>
            </w:r>
            <w:r>
              <w:rPr>
                <w:rFonts w:eastAsia="仿宋_GB2312"/>
                <w:bCs/>
                <w:color w:val="000000"/>
                <w:kern w:val="15"/>
                <w:szCs w:val="21"/>
              </w:rPr>
              <w:t>±</w:t>
            </w:r>
            <w:r>
              <w:rPr>
                <w:rFonts w:eastAsia="仿宋_GB2312"/>
                <w:color w:val="000000"/>
                <w:szCs w:val="21"/>
              </w:rPr>
              <w:t xml:space="preserve">0.32 </w:t>
            </w:r>
            <w:r>
              <w:rPr>
                <w:rFonts w:eastAsia="仿宋_GB2312"/>
                <w:color w:val="000000"/>
                <w:kern w:val="0"/>
                <w:szCs w:val="21"/>
              </w:rPr>
              <w:t>B</w:t>
            </w:r>
          </w:p>
        </w:tc>
        <w:tc>
          <w:tcPr>
            <w:tcW w:w="2126" w:type="dxa"/>
            <w:tcBorders>
              <w:top w:val="nil"/>
              <w:left w:val="nil"/>
              <w:right w:val="nil"/>
            </w:tcBorders>
            <w:shd w:val="clear" w:color="auto" w:fill="FFFFFF"/>
            <w:vAlign w:val="center"/>
          </w:tcPr>
          <w:p>
            <w:pPr>
              <w:spacing w:line="360" w:lineRule="auto"/>
              <w:jc w:val="center"/>
              <w:rPr>
                <w:rFonts w:eastAsia="仿宋_GB2312"/>
                <w:szCs w:val="21"/>
              </w:rPr>
            </w:pPr>
            <w:r>
              <w:rPr>
                <w:rFonts w:eastAsia="仿宋_GB2312"/>
                <w:color w:val="000000"/>
                <w:szCs w:val="21"/>
              </w:rPr>
              <w:t>28.8</w:t>
            </w:r>
          </w:p>
        </w:tc>
        <w:tc>
          <w:tcPr>
            <w:tcW w:w="1701" w:type="dxa"/>
            <w:tcBorders>
              <w:top w:val="nil"/>
              <w:left w:val="nil"/>
              <w:right w:val="nil"/>
            </w:tcBorders>
            <w:shd w:val="clear" w:color="auto" w:fill="FFFFFF"/>
            <w:vAlign w:val="center"/>
          </w:tcPr>
          <w:p>
            <w:pPr>
              <w:spacing w:line="360" w:lineRule="auto"/>
              <w:jc w:val="center"/>
              <w:rPr>
                <w:rFonts w:eastAsia="仿宋_GB2312"/>
                <w:szCs w:val="21"/>
              </w:rPr>
            </w:pPr>
            <w:r>
              <w:rPr>
                <w:rFonts w:eastAsia="仿宋_GB2312"/>
                <w:color w:val="000000"/>
                <w:szCs w:val="21"/>
              </w:rPr>
              <w:t>954.0</w:t>
            </w:r>
          </w:p>
        </w:tc>
      </w:tr>
    </w:tbl>
    <w:p>
      <w:pPr>
        <w:spacing w:after="159" w:afterLines="50" w:line="380" w:lineRule="exact"/>
        <w:ind w:firstLine="840" w:firstLineChars="400"/>
        <w:rPr>
          <w:rFonts w:eastAsia="仿宋_GB2312"/>
          <w:szCs w:val="21"/>
        </w:rPr>
      </w:pPr>
      <w:r>
        <w:rPr>
          <w:rFonts w:eastAsia="仿宋_GB2312"/>
          <w:szCs w:val="21"/>
        </w:rPr>
        <w:t xml:space="preserve">注：同列不同大写字母表示处理间差异极显著（P&lt;0.01），下同 </w:t>
      </w:r>
    </w:p>
    <w:p>
      <w:pPr>
        <w:spacing w:line="360" w:lineRule="auto"/>
        <w:ind w:firstLine="480" w:firstLineChars="200"/>
        <w:rPr>
          <w:rFonts w:ascii="仿宋_GB2312" w:hAnsi="宋体" w:eastAsia="仿宋_GB2312"/>
          <w:sz w:val="24"/>
        </w:rPr>
      </w:pPr>
      <w:r>
        <w:rPr>
          <w:rFonts w:ascii="仿宋_GB2312" w:hAnsi="宋体" w:eastAsia="仿宋_GB2312"/>
          <w:sz w:val="24"/>
        </w:rPr>
        <w:t>从表2可以看出，增施</w:t>
      </w:r>
      <w:r>
        <w:rPr>
          <w:rFonts w:eastAsia="仿宋_GB2312"/>
          <w:sz w:val="24"/>
        </w:rPr>
        <w:t>CO</w:t>
      </w:r>
      <w:r>
        <w:rPr>
          <w:rFonts w:eastAsia="仿宋_GB2312"/>
          <w:sz w:val="24"/>
          <w:vertAlign w:val="subscript"/>
        </w:rPr>
        <w:t>2</w:t>
      </w:r>
      <w:r>
        <w:rPr>
          <w:rFonts w:ascii="仿宋_GB2312" w:hAnsi="宋体" w:eastAsia="仿宋_GB2312"/>
          <w:sz w:val="24"/>
        </w:rPr>
        <w:t>后各指标均呈现增加趋势，株高和最大叶柄长呈极显著差异，富碳区叶柄基部宽显著高于对照，但叶片数未达到显著差异，这说明，</w:t>
      </w:r>
      <w:r>
        <w:rPr>
          <w:rFonts w:eastAsia="仿宋_GB2312"/>
          <w:sz w:val="24"/>
        </w:rPr>
        <w:t>CO</w:t>
      </w:r>
      <w:r>
        <w:rPr>
          <w:rFonts w:eastAsia="仿宋_GB2312"/>
          <w:sz w:val="24"/>
          <w:vertAlign w:val="subscript"/>
        </w:rPr>
        <w:t>2</w:t>
      </w:r>
      <w:r>
        <w:rPr>
          <w:rFonts w:ascii="仿宋_GB2312" w:hAnsi="宋体" w:eastAsia="仿宋_GB2312"/>
          <w:sz w:val="24"/>
        </w:rPr>
        <w:t>加富后植株长势增强，株体高大粗壮，从而使植株更好的利用水分和光照等环境因子，为提高</w:t>
      </w:r>
      <w:r>
        <w:rPr>
          <w:rFonts w:hint="eastAsia" w:ascii="仿宋_GB2312" w:hAnsi="宋体" w:eastAsia="仿宋_GB2312"/>
          <w:sz w:val="24"/>
        </w:rPr>
        <w:t>西芹</w:t>
      </w:r>
      <w:r>
        <w:rPr>
          <w:rFonts w:ascii="仿宋_GB2312" w:hAnsi="宋体" w:eastAsia="仿宋_GB2312"/>
          <w:sz w:val="24"/>
        </w:rPr>
        <w:t>品质和产量奠定了基础，预示着</w:t>
      </w:r>
      <w:r>
        <w:rPr>
          <w:rFonts w:hint="eastAsia" w:ascii="仿宋_GB2312" w:hAnsi="宋体" w:eastAsia="仿宋_GB2312"/>
          <w:sz w:val="24"/>
        </w:rPr>
        <w:t>西芹</w:t>
      </w:r>
      <w:r>
        <w:rPr>
          <w:rFonts w:ascii="仿宋_GB2312" w:hAnsi="宋体" w:eastAsia="仿宋_GB2312"/>
          <w:sz w:val="24"/>
        </w:rPr>
        <w:t>是通过增大营养体而不是通过增加叶片数来提高单株产量。</w:t>
      </w:r>
    </w:p>
    <w:p>
      <w:pPr>
        <w:spacing w:line="360" w:lineRule="auto"/>
        <w:ind w:firstLine="480" w:firstLineChars="200"/>
        <w:rPr>
          <w:rFonts w:ascii="仿宋_GB2312" w:hAnsi="宋体" w:eastAsia="仿宋_GB2312"/>
          <w:sz w:val="24"/>
        </w:rPr>
      </w:pPr>
      <w:r>
        <w:rPr>
          <w:rFonts w:ascii="仿宋_GB2312" w:hAnsi="宋体" w:eastAsia="仿宋_GB2312"/>
          <w:sz w:val="24"/>
        </w:rPr>
        <w:t>从表3可以看出，增施</w:t>
      </w:r>
      <w:r>
        <w:rPr>
          <w:rFonts w:eastAsia="仿宋_GB2312"/>
          <w:sz w:val="24"/>
        </w:rPr>
        <w:t>CO</w:t>
      </w:r>
      <w:r>
        <w:rPr>
          <w:rFonts w:eastAsia="仿宋_GB2312"/>
          <w:sz w:val="24"/>
          <w:vertAlign w:val="subscript"/>
        </w:rPr>
        <w:t>2</w:t>
      </w:r>
      <w:r>
        <w:rPr>
          <w:rFonts w:ascii="仿宋_GB2312" w:hAnsi="宋体" w:eastAsia="仿宋_GB2312"/>
          <w:sz w:val="24"/>
        </w:rPr>
        <w:t>可以极显著的增加西芹的单株鲜重、单株干重、小区产量，且单株鲜重、单株干重、小区产量的增幅分别为77%、97%、25%，这表明，增施</w:t>
      </w:r>
      <w:r>
        <w:rPr>
          <w:rFonts w:eastAsia="仿宋_GB2312"/>
          <w:sz w:val="24"/>
        </w:rPr>
        <w:t>CO</w:t>
      </w:r>
      <w:r>
        <w:rPr>
          <w:rFonts w:eastAsia="仿宋_GB2312"/>
          <w:sz w:val="24"/>
          <w:vertAlign w:val="subscript"/>
        </w:rPr>
        <w:t>2</w:t>
      </w:r>
      <w:r>
        <w:rPr>
          <w:rFonts w:ascii="仿宋_GB2312" w:hAnsi="宋体" w:eastAsia="仿宋_GB2312"/>
          <w:sz w:val="24"/>
        </w:rPr>
        <w:t>对西芹产量有促进作用，可以获得更高的经济效益。同时，增施</w:t>
      </w:r>
      <w:r>
        <w:rPr>
          <w:rFonts w:eastAsia="仿宋_GB2312"/>
          <w:sz w:val="24"/>
        </w:rPr>
        <w:t>CO</w:t>
      </w:r>
      <w:r>
        <w:rPr>
          <w:rFonts w:eastAsia="仿宋_GB2312"/>
          <w:sz w:val="24"/>
          <w:vertAlign w:val="subscript"/>
        </w:rPr>
        <w:t>2</w:t>
      </w:r>
      <w:r>
        <w:rPr>
          <w:rFonts w:ascii="仿宋_GB2312" w:hAnsi="宋体" w:eastAsia="仿宋_GB2312"/>
          <w:sz w:val="24"/>
        </w:rPr>
        <w:t>后，西芹的干重/鲜重增加不显著，但单株干重获得极显著的增加，预示着西芹品质改变。</w:t>
      </w:r>
    </w:p>
    <w:p>
      <w:pPr>
        <w:spacing w:line="360" w:lineRule="auto"/>
        <w:ind w:firstLine="480" w:firstLineChars="200"/>
        <w:jc w:val="center"/>
        <w:rPr>
          <w:rFonts w:eastAsia="仿宋_GB2312"/>
          <w:sz w:val="24"/>
        </w:rPr>
      </w:pPr>
      <w:r>
        <w:rPr>
          <w:rFonts w:hint="eastAsia" w:eastAsia="仿宋_GB2312"/>
          <w:sz w:val="24"/>
        </w:rPr>
        <w:t xml:space="preserve">表2  </w:t>
      </w:r>
      <w:r>
        <w:rPr>
          <w:rFonts w:eastAsia="仿宋_GB2312"/>
          <w:sz w:val="24"/>
        </w:rPr>
        <w:t>CO</w:t>
      </w:r>
      <w:r>
        <w:rPr>
          <w:rFonts w:eastAsia="仿宋_GB2312"/>
          <w:sz w:val="24"/>
          <w:vertAlign w:val="subscript"/>
        </w:rPr>
        <w:t>2</w:t>
      </w:r>
      <w:r>
        <w:rPr>
          <w:rFonts w:hint="eastAsia" w:eastAsia="仿宋_GB2312"/>
          <w:sz w:val="24"/>
        </w:rPr>
        <w:t>加富对芹菜植株形态的影响</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1417"/>
        <w:gridCol w:w="1418"/>
        <w:gridCol w:w="1984"/>
        <w:gridCol w:w="2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58" w:type="dxa"/>
            <w:tcBorders>
              <w:top w:val="single" w:color="9BBB59" w:sz="8" w:space="0"/>
              <w:left w:val="dotted" w:color="auto" w:sz="4" w:space="0"/>
              <w:bottom w:val="single" w:color="9BBB59" w:sz="8" w:space="0"/>
              <w:right w:val="dotted" w:color="auto" w:sz="4" w:space="0"/>
            </w:tcBorders>
            <w:shd w:val="clear" w:color="000000" w:fill="FFFFFF"/>
            <w:vAlign w:val="center"/>
          </w:tcPr>
          <w:p>
            <w:pPr>
              <w:widowControl/>
              <w:ind w:firstLine="480" w:firstLineChars="200"/>
              <w:jc w:val="left"/>
              <w:rPr>
                <w:rFonts w:eastAsia="仿宋_GB2312"/>
                <w:sz w:val="24"/>
              </w:rPr>
            </w:pPr>
          </w:p>
        </w:tc>
        <w:tc>
          <w:tcPr>
            <w:tcW w:w="1417" w:type="dxa"/>
            <w:tcBorders>
              <w:top w:val="single" w:color="9BBB59" w:sz="8" w:space="0"/>
              <w:left w:val="dotted" w:color="auto" w:sz="4" w:space="0"/>
              <w:bottom w:val="single" w:color="9BBB59" w:sz="8" w:space="0"/>
              <w:right w:val="dotted" w:color="auto" w:sz="4" w:space="0"/>
            </w:tcBorders>
            <w:shd w:val="clear" w:color="auto" w:fill="FFFFFF"/>
          </w:tcPr>
          <w:p>
            <w:pPr>
              <w:spacing w:line="360" w:lineRule="exact"/>
              <w:jc w:val="center"/>
              <w:rPr>
                <w:rFonts w:eastAsia="仿宋_GB2312"/>
                <w:sz w:val="24"/>
              </w:rPr>
            </w:pPr>
            <w:r>
              <w:rPr>
                <w:rFonts w:eastAsia="仿宋_GB2312"/>
                <w:sz w:val="24"/>
              </w:rPr>
              <w:t>株高/cm</w:t>
            </w:r>
          </w:p>
        </w:tc>
        <w:tc>
          <w:tcPr>
            <w:tcW w:w="1418" w:type="dxa"/>
            <w:tcBorders>
              <w:top w:val="single" w:color="9BBB59" w:sz="8" w:space="0"/>
              <w:left w:val="dotted" w:color="auto" w:sz="4" w:space="0"/>
              <w:bottom w:val="single" w:color="9BBB59" w:sz="8" w:space="0"/>
              <w:right w:val="dotted" w:color="auto" w:sz="4" w:space="0"/>
            </w:tcBorders>
            <w:shd w:val="clear" w:color="auto" w:fill="FFFFFF"/>
          </w:tcPr>
          <w:p>
            <w:pPr>
              <w:spacing w:line="360" w:lineRule="exact"/>
              <w:jc w:val="center"/>
              <w:rPr>
                <w:rFonts w:eastAsia="仿宋_GB2312"/>
                <w:sz w:val="24"/>
              </w:rPr>
            </w:pPr>
            <w:r>
              <w:rPr>
                <w:rFonts w:eastAsia="仿宋_GB2312"/>
                <w:sz w:val="24"/>
              </w:rPr>
              <w:t>叶片数</w:t>
            </w:r>
          </w:p>
        </w:tc>
        <w:tc>
          <w:tcPr>
            <w:tcW w:w="1984" w:type="dxa"/>
            <w:tcBorders>
              <w:top w:val="single" w:color="9BBB59" w:sz="8" w:space="0"/>
              <w:left w:val="dotted" w:color="auto" w:sz="4" w:space="0"/>
              <w:bottom w:val="single" w:color="9BBB59" w:sz="8" w:space="0"/>
              <w:right w:val="dotted" w:color="auto" w:sz="4" w:space="0"/>
            </w:tcBorders>
            <w:shd w:val="clear" w:color="auto" w:fill="FFFFFF"/>
          </w:tcPr>
          <w:p>
            <w:pPr>
              <w:spacing w:line="360" w:lineRule="auto"/>
              <w:jc w:val="center"/>
              <w:rPr>
                <w:rFonts w:eastAsia="仿宋_GB2312"/>
                <w:sz w:val="24"/>
              </w:rPr>
            </w:pPr>
            <w:r>
              <w:rPr>
                <w:rFonts w:eastAsia="仿宋_GB2312"/>
                <w:sz w:val="24"/>
              </w:rPr>
              <w:t>最大叶柄长/cm</w:t>
            </w:r>
          </w:p>
        </w:tc>
        <w:tc>
          <w:tcPr>
            <w:tcW w:w="2003" w:type="dxa"/>
            <w:tcBorders>
              <w:top w:val="single" w:color="9BBB59" w:sz="8" w:space="0"/>
              <w:left w:val="dotted" w:color="auto" w:sz="4" w:space="0"/>
              <w:bottom w:val="single" w:color="9BBB59" w:sz="8" w:space="0"/>
              <w:right w:val="dotted" w:color="auto" w:sz="4" w:space="0"/>
            </w:tcBorders>
            <w:shd w:val="clear" w:color="auto" w:fill="FFFFFF"/>
          </w:tcPr>
          <w:p>
            <w:pPr>
              <w:spacing w:line="360" w:lineRule="auto"/>
              <w:jc w:val="center"/>
              <w:rPr>
                <w:rFonts w:eastAsia="仿宋_GB2312"/>
                <w:sz w:val="24"/>
              </w:rPr>
            </w:pPr>
            <w:r>
              <w:rPr>
                <w:rFonts w:eastAsia="仿宋_GB2312"/>
                <w:sz w:val="24"/>
              </w:rPr>
              <w:t>叶柄基部宽/cm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58" w:type="dxa"/>
            <w:tcBorders>
              <w:top w:val="single" w:color="9BBB59" w:sz="8" w:space="0"/>
              <w:left w:val="dotted" w:color="auto" w:sz="4" w:space="0"/>
              <w:bottom w:val="dotted" w:color="auto" w:sz="4" w:space="0"/>
              <w:right w:val="dotted" w:color="auto" w:sz="4" w:space="0"/>
            </w:tcBorders>
            <w:shd w:val="clear" w:color="auto" w:fill="FFFFFF"/>
          </w:tcPr>
          <w:p>
            <w:pPr>
              <w:spacing w:line="360" w:lineRule="auto"/>
              <w:ind w:firstLine="480" w:firstLineChars="200"/>
              <w:jc w:val="left"/>
              <w:rPr>
                <w:rFonts w:eastAsia="仿宋_GB2312"/>
                <w:sz w:val="24"/>
              </w:rPr>
            </w:pPr>
            <w:r>
              <w:rPr>
                <w:rFonts w:eastAsia="仿宋_GB2312"/>
                <w:sz w:val="24"/>
              </w:rPr>
              <w:t>富碳</w:t>
            </w:r>
          </w:p>
        </w:tc>
        <w:tc>
          <w:tcPr>
            <w:tcW w:w="1417" w:type="dxa"/>
            <w:tcBorders>
              <w:top w:val="single" w:color="9BBB59" w:sz="8" w:space="0"/>
              <w:left w:val="dotted" w:color="auto" w:sz="4" w:space="0"/>
              <w:bottom w:val="dotted" w:color="auto" w:sz="4" w:space="0"/>
              <w:right w:val="dotted" w:color="auto" w:sz="4" w:space="0"/>
            </w:tcBorders>
            <w:shd w:val="clear" w:color="auto" w:fill="FFFFFF"/>
            <w:vAlign w:val="center"/>
          </w:tcPr>
          <w:p>
            <w:pPr>
              <w:spacing w:line="360" w:lineRule="auto"/>
              <w:jc w:val="left"/>
              <w:rPr>
                <w:rFonts w:eastAsia="仿宋_GB2312"/>
                <w:sz w:val="24"/>
              </w:rPr>
            </w:pPr>
            <w:r>
              <w:rPr>
                <w:rFonts w:eastAsia="仿宋_GB2312"/>
                <w:sz w:val="24"/>
              </w:rPr>
              <w:t>82.0±0.31 A</w:t>
            </w:r>
          </w:p>
        </w:tc>
        <w:tc>
          <w:tcPr>
            <w:tcW w:w="1418" w:type="dxa"/>
            <w:tcBorders>
              <w:top w:val="single" w:color="9BBB59" w:sz="8" w:space="0"/>
              <w:left w:val="dotted" w:color="auto" w:sz="4" w:space="0"/>
              <w:bottom w:val="dotted" w:color="auto" w:sz="4" w:space="0"/>
              <w:right w:val="dotted" w:color="auto" w:sz="4" w:space="0"/>
            </w:tcBorders>
            <w:shd w:val="clear" w:color="auto" w:fill="FFFFFF"/>
            <w:vAlign w:val="center"/>
          </w:tcPr>
          <w:p>
            <w:pPr>
              <w:widowControl/>
              <w:spacing w:line="360" w:lineRule="auto"/>
              <w:jc w:val="left"/>
              <w:rPr>
                <w:rFonts w:eastAsia="仿宋_GB2312"/>
                <w:sz w:val="24"/>
              </w:rPr>
            </w:pPr>
            <w:r>
              <w:rPr>
                <w:rFonts w:eastAsia="仿宋_GB2312"/>
                <w:sz w:val="24"/>
              </w:rPr>
              <w:t>11.7±0.35 a</w:t>
            </w:r>
          </w:p>
        </w:tc>
        <w:tc>
          <w:tcPr>
            <w:tcW w:w="1984" w:type="dxa"/>
            <w:tcBorders>
              <w:top w:val="single" w:color="9BBB59" w:sz="8" w:space="0"/>
              <w:left w:val="dotted" w:color="auto" w:sz="4" w:space="0"/>
              <w:bottom w:val="dotted" w:color="auto" w:sz="4" w:space="0"/>
              <w:right w:val="dotted" w:color="auto" w:sz="4" w:space="0"/>
            </w:tcBorders>
            <w:shd w:val="clear" w:color="auto" w:fill="FFFFFF"/>
            <w:vAlign w:val="center"/>
          </w:tcPr>
          <w:p>
            <w:pPr>
              <w:widowControl/>
              <w:spacing w:line="360" w:lineRule="auto"/>
              <w:jc w:val="left"/>
              <w:rPr>
                <w:rFonts w:eastAsia="仿宋_GB2312"/>
                <w:sz w:val="24"/>
              </w:rPr>
            </w:pPr>
            <w:r>
              <w:rPr>
                <w:rFonts w:eastAsia="仿宋_GB2312"/>
                <w:sz w:val="24"/>
              </w:rPr>
              <w:t>37.4±0.46 A</w:t>
            </w:r>
          </w:p>
        </w:tc>
        <w:tc>
          <w:tcPr>
            <w:tcW w:w="2003" w:type="dxa"/>
            <w:tcBorders>
              <w:top w:val="single" w:color="9BBB59" w:sz="8" w:space="0"/>
              <w:left w:val="dotted" w:color="auto" w:sz="4" w:space="0"/>
              <w:bottom w:val="dotted" w:color="auto" w:sz="4" w:space="0"/>
              <w:right w:val="dotted" w:color="auto" w:sz="4" w:space="0"/>
            </w:tcBorders>
            <w:shd w:val="clear" w:color="auto" w:fill="FFFFFF"/>
            <w:vAlign w:val="center"/>
          </w:tcPr>
          <w:p>
            <w:pPr>
              <w:widowControl/>
              <w:spacing w:line="360" w:lineRule="auto"/>
              <w:jc w:val="left"/>
              <w:rPr>
                <w:rFonts w:eastAsia="仿宋_GB2312"/>
                <w:sz w:val="24"/>
              </w:rPr>
            </w:pPr>
            <w:r>
              <w:rPr>
                <w:rFonts w:eastAsia="仿宋_GB2312"/>
                <w:sz w:val="24"/>
              </w:rPr>
              <w:t>2.8±0.12 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358" w:type="dxa"/>
            <w:tcBorders>
              <w:top w:val="dotted" w:color="auto" w:sz="4" w:space="0"/>
              <w:left w:val="dotted" w:color="auto" w:sz="4" w:space="0"/>
              <w:bottom w:val="single" w:color="9BBB59" w:sz="8" w:space="0"/>
              <w:right w:val="dotted" w:color="auto" w:sz="4" w:space="0"/>
            </w:tcBorders>
            <w:shd w:val="clear" w:color="auto" w:fill="FFFFFF"/>
            <w:vAlign w:val="center"/>
          </w:tcPr>
          <w:p>
            <w:pPr>
              <w:widowControl/>
              <w:spacing w:line="360" w:lineRule="auto"/>
              <w:ind w:firstLine="480" w:firstLineChars="200"/>
              <w:jc w:val="left"/>
              <w:rPr>
                <w:rFonts w:eastAsia="仿宋_GB2312"/>
                <w:sz w:val="24"/>
              </w:rPr>
            </w:pPr>
            <w:r>
              <w:rPr>
                <w:rFonts w:eastAsia="仿宋_GB2312"/>
                <w:sz w:val="24"/>
              </w:rPr>
              <w:t>对照</w:t>
            </w:r>
          </w:p>
        </w:tc>
        <w:tc>
          <w:tcPr>
            <w:tcW w:w="1417" w:type="dxa"/>
            <w:tcBorders>
              <w:top w:val="dotted" w:color="auto" w:sz="4" w:space="0"/>
              <w:left w:val="dotted" w:color="auto" w:sz="4" w:space="0"/>
              <w:bottom w:val="single" w:color="9BBB59" w:sz="8" w:space="0"/>
              <w:right w:val="dotted" w:color="auto" w:sz="4" w:space="0"/>
            </w:tcBorders>
            <w:shd w:val="clear" w:color="auto" w:fill="FFFFFF"/>
            <w:vAlign w:val="center"/>
          </w:tcPr>
          <w:p>
            <w:pPr>
              <w:spacing w:line="360" w:lineRule="auto"/>
              <w:jc w:val="left"/>
              <w:rPr>
                <w:rFonts w:eastAsia="仿宋_GB2312"/>
                <w:sz w:val="24"/>
              </w:rPr>
            </w:pPr>
            <w:r>
              <w:rPr>
                <w:rFonts w:eastAsia="仿宋_GB2312"/>
                <w:sz w:val="24"/>
              </w:rPr>
              <w:t>69.5±0.40 B</w:t>
            </w:r>
          </w:p>
        </w:tc>
        <w:tc>
          <w:tcPr>
            <w:tcW w:w="1418" w:type="dxa"/>
            <w:tcBorders>
              <w:top w:val="dotted" w:color="auto" w:sz="4" w:space="0"/>
              <w:left w:val="dotted" w:color="auto" w:sz="4" w:space="0"/>
              <w:bottom w:val="single" w:color="9BBB59" w:sz="8" w:space="0"/>
              <w:right w:val="dotted" w:color="auto" w:sz="4" w:space="0"/>
            </w:tcBorders>
            <w:shd w:val="clear" w:color="auto" w:fill="FFFFFF"/>
            <w:vAlign w:val="center"/>
          </w:tcPr>
          <w:p>
            <w:pPr>
              <w:widowControl/>
              <w:spacing w:line="360" w:lineRule="auto"/>
              <w:jc w:val="left"/>
              <w:rPr>
                <w:rFonts w:eastAsia="仿宋_GB2312"/>
                <w:sz w:val="24"/>
              </w:rPr>
            </w:pPr>
            <w:r>
              <w:rPr>
                <w:rFonts w:eastAsia="仿宋_GB2312"/>
                <w:sz w:val="24"/>
              </w:rPr>
              <w:t>11.5±0.20 a</w:t>
            </w:r>
          </w:p>
        </w:tc>
        <w:tc>
          <w:tcPr>
            <w:tcW w:w="1984" w:type="dxa"/>
            <w:tcBorders>
              <w:top w:val="dotted" w:color="auto" w:sz="4" w:space="0"/>
              <w:left w:val="dotted" w:color="auto" w:sz="4" w:space="0"/>
              <w:bottom w:val="single" w:color="9BBB59" w:sz="8" w:space="0"/>
              <w:right w:val="dotted" w:color="auto" w:sz="4" w:space="0"/>
            </w:tcBorders>
            <w:shd w:val="clear" w:color="auto" w:fill="FFFFFF"/>
            <w:vAlign w:val="center"/>
          </w:tcPr>
          <w:p>
            <w:pPr>
              <w:widowControl/>
              <w:spacing w:line="360" w:lineRule="auto"/>
              <w:jc w:val="left"/>
              <w:rPr>
                <w:rFonts w:eastAsia="仿宋_GB2312"/>
                <w:sz w:val="24"/>
              </w:rPr>
            </w:pPr>
            <w:r>
              <w:rPr>
                <w:rFonts w:eastAsia="仿宋_GB2312"/>
                <w:sz w:val="24"/>
              </w:rPr>
              <w:t>32.2±0.52 B</w:t>
            </w:r>
          </w:p>
        </w:tc>
        <w:tc>
          <w:tcPr>
            <w:tcW w:w="2003" w:type="dxa"/>
            <w:tcBorders>
              <w:top w:val="dotted" w:color="auto" w:sz="4" w:space="0"/>
              <w:left w:val="dotted" w:color="auto" w:sz="4" w:space="0"/>
              <w:bottom w:val="single" w:color="9BBB59" w:sz="8" w:space="0"/>
              <w:right w:val="dotted" w:color="auto" w:sz="4" w:space="0"/>
            </w:tcBorders>
            <w:shd w:val="clear" w:color="auto" w:fill="FFFFFF"/>
            <w:vAlign w:val="center"/>
          </w:tcPr>
          <w:p>
            <w:pPr>
              <w:widowControl/>
              <w:spacing w:line="360" w:lineRule="auto"/>
              <w:jc w:val="left"/>
              <w:rPr>
                <w:rFonts w:eastAsia="仿宋_GB2312"/>
                <w:sz w:val="24"/>
              </w:rPr>
            </w:pPr>
            <w:r>
              <w:rPr>
                <w:rFonts w:eastAsia="仿宋_GB2312"/>
                <w:sz w:val="24"/>
              </w:rPr>
              <w:t>2.5±0.23 b</w:t>
            </w:r>
          </w:p>
        </w:tc>
      </w:tr>
    </w:tbl>
    <w:p>
      <w:pPr>
        <w:ind w:firstLine="480" w:firstLineChars="200"/>
        <w:jc w:val="center"/>
        <w:rPr>
          <w:rFonts w:eastAsia="仿宋_GB2312"/>
          <w:sz w:val="24"/>
        </w:rPr>
      </w:pPr>
    </w:p>
    <w:p>
      <w:pPr>
        <w:ind w:firstLine="480" w:firstLineChars="200"/>
        <w:jc w:val="center"/>
        <w:rPr>
          <w:rFonts w:eastAsia="仿宋_GB2312"/>
          <w:sz w:val="24"/>
        </w:rPr>
      </w:pPr>
      <w:r>
        <w:rPr>
          <w:rFonts w:eastAsia="仿宋_GB2312"/>
          <w:sz w:val="24"/>
        </w:rPr>
        <w:t>表3  CO</w:t>
      </w:r>
      <w:r>
        <w:rPr>
          <w:rFonts w:eastAsia="仿宋_GB2312"/>
          <w:sz w:val="24"/>
          <w:vertAlign w:val="subscript"/>
        </w:rPr>
        <w:t>2</w:t>
      </w:r>
      <w:r>
        <w:rPr>
          <w:rFonts w:eastAsia="仿宋_GB2312"/>
          <w:sz w:val="24"/>
        </w:rPr>
        <w:t>加富对芹菜产量的影响</w:t>
      </w:r>
    </w:p>
    <w:tbl>
      <w:tblPr>
        <w:tblStyle w:val="11"/>
        <w:tblW w:w="82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92"/>
        <w:gridCol w:w="1837"/>
        <w:gridCol w:w="1522"/>
        <w:gridCol w:w="1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425" w:type="dxa"/>
            <w:tcBorders>
              <w:top w:val="single" w:color="9BBB59" w:sz="8" w:space="0"/>
              <w:left w:val="dotted" w:color="auto" w:sz="4" w:space="0"/>
              <w:bottom w:val="single" w:color="9BBB59" w:sz="8" w:space="0"/>
              <w:right w:val="dotted" w:color="auto" w:sz="4" w:space="0"/>
            </w:tcBorders>
            <w:shd w:val="clear" w:color="000000" w:fill="FFFFFF"/>
            <w:vAlign w:val="center"/>
          </w:tcPr>
          <w:p>
            <w:pPr>
              <w:widowControl/>
              <w:ind w:firstLine="480" w:firstLineChars="200"/>
              <w:jc w:val="center"/>
              <w:rPr>
                <w:rFonts w:eastAsia="仿宋_GB2312"/>
                <w:sz w:val="24"/>
              </w:rPr>
            </w:pPr>
          </w:p>
        </w:tc>
        <w:tc>
          <w:tcPr>
            <w:tcW w:w="1592" w:type="dxa"/>
            <w:tcBorders>
              <w:top w:val="single" w:color="9BBB59" w:sz="8" w:space="0"/>
              <w:left w:val="dotted" w:color="auto" w:sz="4" w:space="0"/>
              <w:bottom w:val="single" w:color="9BBB59" w:sz="8" w:space="0"/>
              <w:right w:val="dotted" w:color="auto" w:sz="4" w:space="0"/>
            </w:tcBorders>
            <w:shd w:val="clear" w:color="auto" w:fill="FFFFFF"/>
          </w:tcPr>
          <w:p>
            <w:pPr>
              <w:spacing w:line="360" w:lineRule="exact"/>
              <w:jc w:val="center"/>
              <w:rPr>
                <w:rFonts w:eastAsia="仿宋_GB2312"/>
                <w:sz w:val="24"/>
              </w:rPr>
            </w:pPr>
            <w:r>
              <w:rPr>
                <w:rFonts w:eastAsia="仿宋_GB2312"/>
                <w:sz w:val="24"/>
              </w:rPr>
              <w:t>单株鲜重/g</w:t>
            </w:r>
          </w:p>
        </w:tc>
        <w:tc>
          <w:tcPr>
            <w:tcW w:w="1837" w:type="dxa"/>
            <w:tcBorders>
              <w:top w:val="single" w:color="9BBB59" w:sz="8" w:space="0"/>
              <w:left w:val="dotted" w:color="auto" w:sz="4" w:space="0"/>
              <w:bottom w:val="single" w:color="9BBB59" w:sz="8" w:space="0"/>
              <w:right w:val="dotted" w:color="auto" w:sz="4" w:space="0"/>
            </w:tcBorders>
            <w:shd w:val="clear" w:color="auto" w:fill="FFFFFF"/>
          </w:tcPr>
          <w:p>
            <w:pPr>
              <w:spacing w:line="360" w:lineRule="exact"/>
              <w:jc w:val="center"/>
              <w:rPr>
                <w:rFonts w:eastAsia="仿宋_GB2312"/>
                <w:sz w:val="24"/>
              </w:rPr>
            </w:pPr>
            <w:r>
              <w:rPr>
                <w:rFonts w:eastAsia="仿宋_GB2312"/>
                <w:sz w:val="24"/>
              </w:rPr>
              <w:t>单株干重/g</w:t>
            </w:r>
          </w:p>
        </w:tc>
        <w:tc>
          <w:tcPr>
            <w:tcW w:w="1522" w:type="dxa"/>
            <w:tcBorders>
              <w:top w:val="single" w:color="9BBB59" w:sz="8" w:space="0"/>
              <w:left w:val="dotted" w:color="auto" w:sz="4" w:space="0"/>
              <w:bottom w:val="single" w:color="9BBB59" w:sz="8" w:space="0"/>
              <w:right w:val="dotted" w:color="auto" w:sz="4" w:space="0"/>
            </w:tcBorders>
            <w:shd w:val="clear" w:color="auto" w:fill="FFFFFF"/>
          </w:tcPr>
          <w:p>
            <w:pPr>
              <w:spacing w:line="360" w:lineRule="auto"/>
              <w:jc w:val="center"/>
              <w:rPr>
                <w:rFonts w:eastAsia="仿宋_GB2312"/>
                <w:sz w:val="24"/>
              </w:rPr>
            </w:pPr>
            <w:r>
              <w:rPr>
                <w:rFonts w:eastAsia="仿宋_GB2312"/>
                <w:sz w:val="24"/>
              </w:rPr>
              <w:t>干重/鲜重</w:t>
            </w:r>
          </w:p>
        </w:tc>
        <w:tc>
          <w:tcPr>
            <w:tcW w:w="1918" w:type="dxa"/>
            <w:tcBorders>
              <w:top w:val="single" w:color="9BBB59" w:sz="8" w:space="0"/>
              <w:left w:val="dotted" w:color="auto" w:sz="4" w:space="0"/>
              <w:bottom w:val="single" w:color="9BBB59" w:sz="8" w:space="0"/>
              <w:right w:val="dotted" w:color="auto" w:sz="4" w:space="0"/>
            </w:tcBorders>
            <w:shd w:val="clear" w:color="auto" w:fill="FFFFFF"/>
          </w:tcPr>
          <w:p>
            <w:pPr>
              <w:rPr>
                <w:rFonts w:eastAsia="仿宋_GB2312"/>
                <w:sz w:val="24"/>
              </w:rPr>
            </w:pPr>
            <w:r>
              <w:rPr>
                <w:rFonts w:eastAsia="仿宋_GB2312"/>
                <w:sz w:val="24"/>
              </w:rPr>
              <w:t>小区产量kg/m</w:t>
            </w:r>
            <w:r>
              <w:rPr>
                <w:rFonts w:eastAsia="仿宋_GB2312"/>
                <w:sz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425" w:type="dxa"/>
            <w:tcBorders>
              <w:top w:val="single" w:color="9BBB59" w:sz="8" w:space="0"/>
              <w:left w:val="dotted" w:color="auto" w:sz="4" w:space="0"/>
              <w:bottom w:val="dotted" w:color="auto" w:sz="4" w:space="0"/>
              <w:right w:val="dotted" w:color="auto" w:sz="4" w:space="0"/>
            </w:tcBorders>
            <w:shd w:val="clear" w:color="auto" w:fill="FFFFFF"/>
          </w:tcPr>
          <w:p>
            <w:pPr>
              <w:spacing w:line="360" w:lineRule="auto"/>
              <w:ind w:firstLine="480" w:firstLineChars="200"/>
              <w:rPr>
                <w:rFonts w:eastAsia="仿宋_GB2312"/>
                <w:sz w:val="24"/>
              </w:rPr>
            </w:pPr>
            <w:r>
              <w:rPr>
                <w:rFonts w:eastAsia="仿宋_GB2312"/>
                <w:sz w:val="24"/>
              </w:rPr>
              <w:t>富碳</w:t>
            </w:r>
          </w:p>
        </w:tc>
        <w:tc>
          <w:tcPr>
            <w:tcW w:w="1592" w:type="dxa"/>
            <w:tcBorders>
              <w:top w:val="single" w:color="9BBB59" w:sz="8" w:space="0"/>
              <w:left w:val="dotted" w:color="auto" w:sz="4" w:space="0"/>
              <w:bottom w:val="dotted" w:color="auto" w:sz="4" w:space="0"/>
              <w:right w:val="dotted" w:color="auto" w:sz="4" w:space="0"/>
            </w:tcBorders>
            <w:shd w:val="clear" w:color="auto" w:fill="FFFFFF"/>
            <w:vAlign w:val="center"/>
          </w:tcPr>
          <w:p>
            <w:pPr>
              <w:spacing w:line="360" w:lineRule="auto"/>
              <w:rPr>
                <w:rFonts w:eastAsia="仿宋_GB2312"/>
                <w:sz w:val="24"/>
              </w:rPr>
            </w:pPr>
            <w:r>
              <w:rPr>
                <w:rFonts w:eastAsia="仿宋_GB2312"/>
                <w:sz w:val="24"/>
              </w:rPr>
              <w:t>390±0.65 A</w:t>
            </w:r>
          </w:p>
        </w:tc>
        <w:tc>
          <w:tcPr>
            <w:tcW w:w="1837" w:type="dxa"/>
            <w:tcBorders>
              <w:top w:val="single" w:color="9BBB59" w:sz="8" w:space="0"/>
              <w:left w:val="dotted" w:color="auto" w:sz="4" w:space="0"/>
              <w:bottom w:val="dotted" w:color="auto" w:sz="4" w:space="0"/>
              <w:right w:val="dotted" w:color="auto" w:sz="4" w:space="0"/>
            </w:tcBorders>
            <w:shd w:val="clear" w:color="auto" w:fill="FFFFFF"/>
            <w:vAlign w:val="center"/>
          </w:tcPr>
          <w:p>
            <w:pPr>
              <w:widowControl/>
              <w:spacing w:line="360" w:lineRule="auto"/>
              <w:rPr>
                <w:rFonts w:eastAsia="仿宋_GB2312"/>
                <w:sz w:val="24"/>
              </w:rPr>
            </w:pPr>
            <w:r>
              <w:rPr>
                <w:rFonts w:eastAsia="仿宋_GB2312"/>
                <w:sz w:val="24"/>
              </w:rPr>
              <w:t>31.3±0.42 A</w:t>
            </w:r>
          </w:p>
        </w:tc>
        <w:tc>
          <w:tcPr>
            <w:tcW w:w="1522" w:type="dxa"/>
            <w:tcBorders>
              <w:top w:val="single" w:color="9BBB59" w:sz="8" w:space="0"/>
              <w:left w:val="dotted" w:color="auto" w:sz="4" w:space="0"/>
              <w:bottom w:val="dotted" w:color="auto" w:sz="4" w:space="0"/>
              <w:right w:val="dotted" w:color="auto" w:sz="4" w:space="0"/>
            </w:tcBorders>
            <w:shd w:val="clear" w:color="auto" w:fill="FFFFFF"/>
            <w:vAlign w:val="center"/>
          </w:tcPr>
          <w:p>
            <w:pPr>
              <w:widowControl/>
              <w:spacing w:line="360" w:lineRule="auto"/>
              <w:textAlignment w:val="center"/>
              <w:rPr>
                <w:rFonts w:eastAsia="仿宋_GB2312"/>
                <w:sz w:val="24"/>
              </w:rPr>
            </w:pPr>
            <w:r>
              <w:rPr>
                <w:rFonts w:eastAsia="仿宋_GB2312"/>
                <w:sz w:val="24"/>
              </w:rPr>
              <w:t>0.080±0.46 a</w:t>
            </w:r>
          </w:p>
        </w:tc>
        <w:tc>
          <w:tcPr>
            <w:tcW w:w="1918" w:type="dxa"/>
            <w:tcBorders>
              <w:top w:val="single" w:color="9BBB59" w:sz="8" w:space="0"/>
              <w:left w:val="dotted" w:color="auto" w:sz="4" w:space="0"/>
              <w:bottom w:val="dotted" w:color="auto" w:sz="4" w:space="0"/>
              <w:right w:val="dotted" w:color="auto" w:sz="4" w:space="0"/>
            </w:tcBorders>
            <w:shd w:val="clear" w:color="auto" w:fill="FFFFFF"/>
            <w:vAlign w:val="center"/>
          </w:tcPr>
          <w:p>
            <w:pPr>
              <w:widowControl/>
              <w:spacing w:line="360" w:lineRule="auto"/>
              <w:textAlignment w:val="center"/>
              <w:rPr>
                <w:rFonts w:eastAsia="仿宋_GB2312"/>
                <w:sz w:val="24"/>
              </w:rPr>
            </w:pPr>
            <w:r>
              <w:rPr>
                <w:rFonts w:eastAsia="仿宋_GB2312"/>
                <w:sz w:val="24"/>
              </w:rPr>
              <w:t>12.27±0.85 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425" w:type="dxa"/>
            <w:tcBorders>
              <w:top w:val="dotted" w:color="auto" w:sz="4" w:space="0"/>
              <w:left w:val="dotted" w:color="auto" w:sz="4" w:space="0"/>
              <w:bottom w:val="single" w:color="9BBB59" w:sz="8" w:space="0"/>
              <w:right w:val="dotted" w:color="auto" w:sz="4" w:space="0"/>
            </w:tcBorders>
            <w:shd w:val="clear" w:color="auto" w:fill="FFFFFF"/>
            <w:vAlign w:val="center"/>
          </w:tcPr>
          <w:p>
            <w:pPr>
              <w:widowControl/>
              <w:ind w:firstLine="480" w:firstLineChars="200"/>
              <w:rPr>
                <w:rFonts w:eastAsia="仿宋_GB2312"/>
                <w:sz w:val="24"/>
              </w:rPr>
            </w:pPr>
            <w:r>
              <w:rPr>
                <w:rFonts w:eastAsia="仿宋_GB2312"/>
                <w:sz w:val="24"/>
              </w:rPr>
              <w:t>对照</w:t>
            </w:r>
          </w:p>
        </w:tc>
        <w:tc>
          <w:tcPr>
            <w:tcW w:w="1592" w:type="dxa"/>
            <w:tcBorders>
              <w:top w:val="dotted" w:color="auto" w:sz="4" w:space="0"/>
              <w:left w:val="dotted" w:color="auto" w:sz="4" w:space="0"/>
              <w:bottom w:val="single" w:color="9BBB59" w:sz="8" w:space="0"/>
              <w:right w:val="dotted" w:color="auto" w:sz="4" w:space="0"/>
            </w:tcBorders>
            <w:shd w:val="clear" w:color="auto" w:fill="FFFFFF"/>
            <w:vAlign w:val="center"/>
          </w:tcPr>
          <w:p>
            <w:pPr>
              <w:spacing w:line="360" w:lineRule="auto"/>
              <w:rPr>
                <w:rFonts w:eastAsia="仿宋_GB2312"/>
                <w:sz w:val="24"/>
              </w:rPr>
            </w:pPr>
            <w:r>
              <w:rPr>
                <w:rFonts w:eastAsia="仿宋_GB2312"/>
                <w:sz w:val="24"/>
              </w:rPr>
              <w:t>220±0.81 B</w:t>
            </w:r>
          </w:p>
        </w:tc>
        <w:tc>
          <w:tcPr>
            <w:tcW w:w="1837" w:type="dxa"/>
            <w:tcBorders>
              <w:top w:val="dotted" w:color="auto" w:sz="4" w:space="0"/>
              <w:left w:val="dotted" w:color="auto" w:sz="4" w:space="0"/>
              <w:bottom w:val="single" w:color="9BBB59" w:sz="8" w:space="0"/>
              <w:right w:val="dotted" w:color="auto" w:sz="4" w:space="0"/>
            </w:tcBorders>
            <w:shd w:val="clear" w:color="auto" w:fill="FFFFFF"/>
            <w:vAlign w:val="center"/>
          </w:tcPr>
          <w:p>
            <w:pPr>
              <w:widowControl/>
              <w:spacing w:line="360" w:lineRule="auto"/>
              <w:rPr>
                <w:rFonts w:eastAsia="仿宋_GB2312"/>
                <w:sz w:val="24"/>
              </w:rPr>
            </w:pPr>
            <w:r>
              <w:rPr>
                <w:rFonts w:eastAsia="仿宋_GB2312"/>
                <w:sz w:val="24"/>
              </w:rPr>
              <w:t>15.9±0.33 B</w:t>
            </w:r>
          </w:p>
        </w:tc>
        <w:tc>
          <w:tcPr>
            <w:tcW w:w="1522" w:type="dxa"/>
            <w:tcBorders>
              <w:top w:val="dotted" w:color="auto" w:sz="4" w:space="0"/>
              <w:left w:val="dotted" w:color="auto" w:sz="4" w:space="0"/>
              <w:bottom w:val="single" w:color="9BBB59" w:sz="8" w:space="0"/>
              <w:right w:val="dotted" w:color="auto" w:sz="4" w:space="0"/>
            </w:tcBorders>
            <w:shd w:val="clear" w:color="auto" w:fill="FFFFFF"/>
            <w:vAlign w:val="center"/>
          </w:tcPr>
          <w:p>
            <w:pPr>
              <w:widowControl/>
              <w:spacing w:line="360" w:lineRule="auto"/>
              <w:textAlignment w:val="center"/>
              <w:rPr>
                <w:rFonts w:eastAsia="仿宋_GB2312"/>
                <w:sz w:val="24"/>
              </w:rPr>
            </w:pPr>
            <w:r>
              <w:rPr>
                <w:rFonts w:eastAsia="仿宋_GB2312"/>
                <w:sz w:val="24"/>
              </w:rPr>
              <w:t>0.073±0.25 b</w:t>
            </w:r>
          </w:p>
        </w:tc>
        <w:tc>
          <w:tcPr>
            <w:tcW w:w="1918" w:type="dxa"/>
            <w:tcBorders>
              <w:top w:val="dotted" w:color="auto" w:sz="4" w:space="0"/>
              <w:left w:val="dotted" w:color="auto" w:sz="4" w:space="0"/>
              <w:bottom w:val="single" w:color="9BBB59" w:sz="8" w:space="0"/>
              <w:right w:val="dotted" w:color="auto" w:sz="4" w:space="0"/>
            </w:tcBorders>
            <w:shd w:val="clear" w:color="auto" w:fill="FFFFFF"/>
            <w:vAlign w:val="center"/>
          </w:tcPr>
          <w:p>
            <w:pPr>
              <w:widowControl/>
              <w:spacing w:line="360" w:lineRule="auto"/>
              <w:textAlignment w:val="center"/>
              <w:rPr>
                <w:rFonts w:eastAsia="仿宋_GB2312"/>
                <w:sz w:val="24"/>
              </w:rPr>
            </w:pPr>
            <w:r>
              <w:rPr>
                <w:rFonts w:eastAsia="仿宋_GB2312"/>
                <w:sz w:val="24"/>
              </w:rPr>
              <w:t>9.79±0.54 B</w:t>
            </w:r>
          </w:p>
        </w:tc>
      </w:tr>
    </w:tbl>
    <w:p>
      <w:pPr>
        <w:spacing w:line="360" w:lineRule="auto"/>
        <w:ind w:firstLine="480" w:firstLineChars="200"/>
        <w:rPr>
          <w:rFonts w:eastAsia="仿宋_GB2312"/>
          <w:sz w:val="24"/>
        </w:rPr>
      </w:pPr>
      <w:r>
        <w:rPr>
          <w:rFonts w:eastAsia="仿宋_GB2312"/>
          <w:sz w:val="24"/>
        </w:rPr>
        <w:t>以上数据说明，CO</w:t>
      </w:r>
      <w:r>
        <w:rPr>
          <w:rFonts w:eastAsia="仿宋_GB2312"/>
          <w:sz w:val="24"/>
          <w:vertAlign w:val="subscript"/>
        </w:rPr>
        <w:t>2</w:t>
      </w:r>
      <w:r>
        <w:rPr>
          <w:rFonts w:eastAsia="仿宋_GB2312"/>
          <w:sz w:val="24"/>
        </w:rPr>
        <w:t>加富显著提高了光合性能，植株变得高大粗壮，单株鲜重和干重增加，产量增幅25.3%。因此，种植密度较普通种植，应根据品种对二氧化碳的敏感性适当减小密度。</w:t>
      </w:r>
    </w:p>
    <w:p>
      <w:pPr>
        <w:spacing w:line="360" w:lineRule="auto"/>
        <w:ind w:firstLine="480" w:firstLineChars="200"/>
        <w:outlineLvl w:val="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pPr>
        <w:pStyle w:val="5"/>
        <w:spacing w:after="0" w:line="360" w:lineRule="auto"/>
        <w:ind w:firstLine="480" w:firstLineChars="200"/>
        <w:rPr>
          <w:rFonts w:ascii="仿宋_GB2312" w:hAnsi="宋体" w:eastAsia="仿宋_GB2312"/>
          <w:sz w:val="24"/>
        </w:rPr>
      </w:pPr>
      <w:r>
        <w:rPr>
          <w:rFonts w:hint="eastAsia" w:ascii="仿宋_GB2312" w:hAnsi="宋体" w:eastAsia="仿宋_GB2312"/>
          <w:sz w:val="24"/>
        </w:rPr>
        <w:t>本标准在制定过程中征求了</w:t>
      </w:r>
      <w:r>
        <w:rPr>
          <w:rFonts w:ascii="仿宋_GB2312" w:hAnsi="宋体" w:eastAsia="仿宋_GB2312"/>
          <w:sz w:val="24"/>
        </w:rPr>
        <w:t>山西省</w:t>
      </w:r>
      <w:r>
        <w:rPr>
          <w:rFonts w:hint="eastAsia" w:ascii="仿宋_GB2312" w:hAnsi="宋体" w:eastAsia="仿宋_GB2312"/>
          <w:sz w:val="24"/>
        </w:rPr>
        <w:t>园艺产业中心</w:t>
      </w:r>
      <w:r>
        <w:rPr>
          <w:rFonts w:ascii="仿宋_GB2312" w:hAnsi="宋体" w:eastAsia="仿宋_GB2312"/>
          <w:sz w:val="24"/>
        </w:rPr>
        <w:t>、</w:t>
      </w:r>
      <w:r>
        <w:rPr>
          <w:rFonts w:hint="eastAsia" w:ascii="仿宋_GB2312" w:hAnsi="宋体" w:eastAsia="仿宋_GB2312"/>
          <w:sz w:val="24"/>
        </w:rPr>
        <w:t>山西省蔬菜产业技术体系</w:t>
      </w:r>
      <w:r>
        <w:rPr>
          <w:rFonts w:ascii="仿宋_GB2312" w:hAnsi="宋体" w:eastAsia="仿宋_GB2312"/>
          <w:sz w:val="24"/>
        </w:rPr>
        <w:t>、</w:t>
      </w:r>
      <w:r>
        <w:rPr>
          <w:rFonts w:hint="eastAsia" w:ascii="仿宋_GB2312" w:hAnsi="宋体" w:eastAsia="仿宋_GB2312"/>
          <w:sz w:val="24"/>
        </w:rPr>
        <w:t>泽州县蔬菜事业中心</w:t>
      </w:r>
      <w:r>
        <w:rPr>
          <w:rFonts w:ascii="仿宋_GB2312" w:hAnsi="宋体" w:eastAsia="仿宋_GB2312"/>
          <w:sz w:val="24"/>
        </w:rPr>
        <w:t>、</w:t>
      </w:r>
      <w:r>
        <w:rPr>
          <w:rFonts w:hint="eastAsia" w:ascii="仿宋_GB2312" w:hAnsi="宋体" w:eastAsia="仿宋_GB2312"/>
          <w:sz w:val="24"/>
        </w:rPr>
        <w:t>兴沃智慧农业有限公司和晋中市太谷区范村镇姚永利蔬菜种植园等多家</w:t>
      </w:r>
      <w:r>
        <w:rPr>
          <w:rFonts w:ascii="仿宋_GB2312" w:hAnsi="宋体" w:eastAsia="仿宋_GB2312"/>
          <w:sz w:val="24"/>
        </w:rPr>
        <w:t>相关专家和技术人员的意见与建议，</w:t>
      </w:r>
      <w:r>
        <w:rPr>
          <w:rFonts w:hint="eastAsia" w:ascii="仿宋_GB2312" w:hAnsi="宋体" w:eastAsia="仿宋_GB2312"/>
          <w:sz w:val="24"/>
        </w:rPr>
        <w:t>专家主要在文本结构、术语应用和文字描述方面提出</w:t>
      </w:r>
      <w:r>
        <w:rPr>
          <w:rFonts w:ascii="仿宋_GB2312" w:hAnsi="宋体" w:eastAsia="仿宋_GB2312"/>
          <w:sz w:val="24"/>
        </w:rPr>
        <w:t>7</w:t>
      </w:r>
      <w:r>
        <w:rPr>
          <w:rFonts w:hint="eastAsia" w:ascii="仿宋_GB2312" w:hAnsi="宋体" w:eastAsia="仿宋_GB2312"/>
          <w:sz w:val="24"/>
        </w:rPr>
        <w:t>条意见，采纳</w:t>
      </w:r>
      <w:r>
        <w:rPr>
          <w:rFonts w:ascii="仿宋_GB2312" w:hAnsi="宋体" w:eastAsia="仿宋_GB2312"/>
          <w:sz w:val="24"/>
        </w:rPr>
        <w:t>7</w:t>
      </w:r>
      <w:r>
        <w:rPr>
          <w:rFonts w:hint="eastAsia" w:ascii="仿宋_GB2312" w:hAnsi="宋体" w:eastAsia="仿宋_GB2312"/>
          <w:sz w:val="24"/>
        </w:rPr>
        <w:t>条。具体意见汇总处理表。</w:t>
      </w:r>
    </w:p>
    <w:p>
      <w:pPr>
        <w:spacing w:line="360" w:lineRule="auto"/>
        <w:ind w:firstLine="480" w:firstLineChars="200"/>
        <w:outlineLvl w:val="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情况，是否合规引用或采用国际标准和国外先进标准，以及与国内外同类标准水平的对比情况</w:t>
      </w:r>
    </w:p>
    <w:p>
      <w:pPr>
        <w:pStyle w:val="5"/>
        <w:spacing w:after="0" w:line="360" w:lineRule="auto"/>
        <w:ind w:firstLine="480" w:firstLineChars="200"/>
        <w:rPr>
          <w:rFonts w:ascii="仿宋_GB2312" w:hAnsi="宋体" w:eastAsia="仿宋_GB2312"/>
          <w:sz w:val="24"/>
        </w:rPr>
      </w:pPr>
      <w:r>
        <w:rPr>
          <w:rFonts w:hint="eastAsia" w:ascii="仿宋_GB2312" w:hAnsi="宋体" w:eastAsia="仿宋_GB2312"/>
          <w:sz w:val="24"/>
        </w:rPr>
        <w:t>与国内同类标准相比，具有一定的先进性。</w:t>
      </w:r>
    </w:p>
    <w:p>
      <w:pPr>
        <w:spacing w:line="360" w:lineRule="auto"/>
        <w:ind w:firstLine="480" w:firstLineChars="200"/>
        <w:outlineLvl w:val="0"/>
        <w:rPr>
          <w:rFonts w:ascii="黑体" w:eastAsia="黑体"/>
          <w:sz w:val="24"/>
        </w:rPr>
      </w:pPr>
      <w:r>
        <w:rPr>
          <w:rFonts w:hint="eastAsia" w:ascii="黑体" w:eastAsia="黑体"/>
          <w:sz w:val="24"/>
        </w:rPr>
        <w:t>八、</w:t>
      </w:r>
      <w:r>
        <w:rPr>
          <w:rFonts w:hint="eastAsia" w:ascii="黑体" w:hAnsi="黑体" w:eastAsia="黑体"/>
          <w:sz w:val="24"/>
        </w:rPr>
        <w:t>作为推荐性标准或者强制性标准的建议及其理由。</w:t>
      </w:r>
    </w:p>
    <w:p>
      <w:pPr>
        <w:pStyle w:val="5"/>
        <w:spacing w:after="0" w:line="360" w:lineRule="auto"/>
        <w:ind w:firstLine="480" w:firstLineChars="200"/>
        <w:rPr>
          <w:rFonts w:ascii="仿宋_GB2312" w:hAnsi="宋体" w:eastAsia="仿宋_GB2312"/>
          <w:sz w:val="24"/>
        </w:rPr>
      </w:pPr>
      <w:r>
        <w:rPr>
          <w:rFonts w:ascii="仿宋_GB2312" w:hAnsi="宋体" w:eastAsia="仿宋_GB2312"/>
          <w:sz w:val="24"/>
        </w:rPr>
        <w:t>建议本标准为推荐性标准。</w:t>
      </w:r>
      <w:r>
        <w:rPr>
          <w:rFonts w:hint="eastAsia" w:ascii="仿宋_GB2312" w:hAnsi="宋体" w:eastAsia="仿宋_GB2312"/>
          <w:sz w:val="24"/>
        </w:rPr>
        <w:t>我国设施蔬菜生产水平参差不齐，机械化水平有限，但近3年来对二氧化碳技术有了一定的认识和了解，建议作为推荐性标准。</w:t>
      </w:r>
    </w:p>
    <w:p>
      <w:pPr>
        <w:spacing w:line="360" w:lineRule="auto"/>
        <w:ind w:firstLine="480" w:firstLineChars="200"/>
        <w:outlineLvl w:val="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pPr>
        <w:pStyle w:val="5"/>
        <w:spacing w:after="0" w:line="360" w:lineRule="auto"/>
        <w:ind w:firstLine="480" w:firstLineChars="200"/>
        <w:rPr>
          <w:rFonts w:ascii="仿宋_GB2312" w:hAnsi="宋体" w:eastAsia="仿宋_GB2312"/>
          <w:sz w:val="24"/>
        </w:rPr>
      </w:pPr>
      <w:r>
        <w:rPr>
          <w:rFonts w:hint="eastAsia" w:ascii="仿宋_GB2312" w:hAnsi="宋体" w:eastAsia="仿宋_GB2312"/>
          <w:sz w:val="24"/>
        </w:rPr>
        <w:t>1．推广应用措施</w:t>
      </w:r>
    </w:p>
    <w:p>
      <w:pPr>
        <w:pStyle w:val="5"/>
        <w:spacing w:after="0" w:line="360" w:lineRule="auto"/>
        <w:ind w:firstLine="480" w:firstLineChars="200"/>
        <w:rPr>
          <w:rFonts w:ascii="仿宋_GB2312" w:hAnsi="宋体" w:eastAsia="仿宋_GB2312"/>
          <w:sz w:val="24"/>
        </w:rPr>
      </w:pPr>
      <w:r>
        <w:rPr>
          <w:rFonts w:hint="eastAsia" w:ascii="仿宋_GB2312" w:hAnsi="宋体" w:eastAsia="仿宋_GB2312"/>
          <w:sz w:val="24"/>
        </w:rPr>
        <w:t>积极通过加大宣传，选点示范，全省开展技术培训，专家包联和蔬菜产业体系集中示范等，对标准积极推广实施。</w:t>
      </w:r>
    </w:p>
    <w:p>
      <w:pPr>
        <w:pStyle w:val="5"/>
        <w:spacing w:after="0" w:line="360" w:lineRule="auto"/>
        <w:ind w:firstLine="480" w:firstLineChars="200"/>
        <w:rPr>
          <w:rFonts w:ascii="仿宋_GB2312" w:hAnsi="宋体" w:eastAsia="仿宋_GB2312"/>
          <w:sz w:val="24"/>
        </w:rPr>
      </w:pPr>
      <w:r>
        <w:rPr>
          <w:rFonts w:hint="eastAsia" w:ascii="仿宋_GB2312" w:hAnsi="宋体" w:eastAsia="仿宋_GB2312"/>
          <w:sz w:val="24"/>
        </w:rPr>
        <w:t xml:space="preserve">2 </w:t>
      </w:r>
      <w:r>
        <w:rPr>
          <w:rFonts w:ascii="仿宋_GB2312" w:hAnsi="宋体" w:eastAsia="仿宋_GB2312"/>
          <w:sz w:val="24"/>
        </w:rPr>
        <w:t>宣贯</w:t>
      </w:r>
      <w:r>
        <w:rPr>
          <w:rFonts w:hint="eastAsia" w:ascii="仿宋_GB2312" w:hAnsi="宋体" w:eastAsia="仿宋_GB2312"/>
          <w:sz w:val="24"/>
        </w:rPr>
        <w:t>培训</w:t>
      </w:r>
    </w:p>
    <w:p>
      <w:pPr>
        <w:autoSpaceDE w:val="0"/>
        <w:autoSpaceDN w:val="0"/>
        <w:adjustRightInd w:val="0"/>
        <w:spacing w:line="360" w:lineRule="auto"/>
        <w:ind w:firstLine="480" w:firstLineChars="200"/>
        <w:jc w:val="left"/>
        <w:rPr>
          <w:rFonts w:ascii="仿宋_GB2312" w:hAnsi="宋体" w:eastAsia="仿宋_GB2312"/>
          <w:sz w:val="24"/>
        </w:rPr>
      </w:pPr>
      <w:r>
        <w:rPr>
          <w:rFonts w:ascii="仿宋_GB2312" w:hAnsi="宋体" w:eastAsia="仿宋_GB2312"/>
          <w:sz w:val="24"/>
        </w:rPr>
        <w:t>2.</w:t>
      </w:r>
      <w:r>
        <w:rPr>
          <w:rFonts w:hint="eastAsia" w:ascii="仿宋_GB2312" w:hAnsi="宋体" w:eastAsia="仿宋_GB2312"/>
          <w:sz w:val="24"/>
        </w:rPr>
        <w:t>1 加大媒体宣传力度 把标准的实施作为提升山西省设施蔬菜绿色固碳生产技术水平的重要推手，作为山西省蔬菜产业技术体系重点工作，在“山西农业网蔬菜子网”等媒体开辟专栏，在国内主要蔬菜期刊、杂志和报纸上（山西农民日报）对标准进行专题介绍和宣传，将该技术标准普及到基层生产企业和农民手中。</w:t>
      </w:r>
    </w:p>
    <w:p>
      <w:pPr>
        <w:autoSpaceDE w:val="0"/>
        <w:autoSpaceDN w:val="0"/>
        <w:adjustRightIn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2</w:t>
      </w:r>
      <w:r>
        <w:rPr>
          <w:rFonts w:ascii="仿宋_GB2312" w:hAnsi="宋体" w:eastAsia="仿宋_GB2312"/>
          <w:sz w:val="24"/>
        </w:rPr>
        <w:t>.2</w:t>
      </w:r>
      <w:r>
        <w:rPr>
          <w:rFonts w:hint="eastAsia" w:ascii="仿宋_GB2312" w:hAnsi="宋体" w:eastAsia="仿宋_GB2312"/>
          <w:sz w:val="24"/>
        </w:rPr>
        <w:t xml:space="preserve"> 加强技术培训 在本标准发布实施初期，在各个示范点进行</w:t>
      </w:r>
      <w:r>
        <w:rPr>
          <w:rFonts w:eastAsia="仿宋_GB2312"/>
          <w:sz w:val="24"/>
        </w:rPr>
        <w:t>CO</w:t>
      </w:r>
      <w:r>
        <w:rPr>
          <w:rFonts w:eastAsia="仿宋_GB2312"/>
          <w:sz w:val="24"/>
          <w:vertAlign w:val="subscript"/>
        </w:rPr>
        <w:t>2</w:t>
      </w:r>
      <w:r>
        <w:rPr>
          <w:rFonts w:hint="eastAsia" w:ascii="仿宋_GB2312" w:hAnsi="宋体" w:eastAsia="仿宋_GB2312"/>
          <w:sz w:val="24"/>
        </w:rPr>
        <w:t>施肥标准化技术人员的培训及现场指导，做好技术示范，深入指导，确保技术进村入户。</w:t>
      </w:r>
    </w:p>
    <w:p>
      <w:pPr>
        <w:autoSpaceDE w:val="0"/>
        <w:autoSpaceDN w:val="0"/>
        <w:adjustRightIn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3 试点示范</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建立标准化示范园 通过在山西省境内主要蔬菜园区和合作社建立该标准示范点，树立样板，奖励典型，以点带面，推进本标准的广泛实施。</w:t>
      </w:r>
    </w:p>
    <w:p>
      <w:pPr>
        <w:spacing w:line="360" w:lineRule="auto"/>
        <w:ind w:firstLine="480" w:firstLineChars="200"/>
        <w:jc w:val="left"/>
        <w:rPr>
          <w:rFonts w:ascii="仿宋_GB2312" w:hAnsi="宋体" w:eastAsia="仿宋_GB2312"/>
          <w:sz w:val="24"/>
        </w:rPr>
        <w:sectPr>
          <w:footerReference r:id="rId3" w:type="default"/>
          <w:pgSz w:w="11906" w:h="16838"/>
          <w:pgMar w:top="1440" w:right="1803" w:bottom="1440" w:left="1803" w:header="851" w:footer="992" w:gutter="0"/>
          <w:pgNumType w:start="1"/>
          <w:cols w:space="0" w:num="1"/>
          <w:titlePg/>
          <w:docGrid w:type="lines" w:linePitch="319" w:charSpace="0"/>
        </w:sectPr>
      </w:pPr>
      <w:r>
        <w:rPr>
          <w:rFonts w:hint="eastAsia" w:ascii="仿宋_GB2312" w:hAnsi="宋体" w:eastAsia="仿宋_GB2312"/>
          <w:sz w:val="24"/>
        </w:rPr>
        <w:t>......</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附表</w:t>
      </w:r>
    </w:p>
    <w:p>
      <w:pPr>
        <w:jc w:val="center"/>
        <w:rPr>
          <w:rFonts w:ascii="仿宋_GB2312" w:hAnsi="宋体" w:eastAsia="仿宋_GB2312"/>
          <w:sz w:val="24"/>
        </w:rPr>
      </w:pPr>
      <w:r>
        <w:rPr>
          <w:rFonts w:hint="eastAsia" w:ascii="仿宋_GB2312" w:hAnsi="宋体" w:eastAsia="仿宋_GB2312"/>
          <w:sz w:val="24"/>
        </w:rPr>
        <w:t>设施蔬菜固碳生产技术规程</w:t>
      </w:r>
      <w:r>
        <w:rPr>
          <w:rFonts w:ascii="仿宋_GB2312" w:hAnsi="宋体" w:eastAsia="仿宋_GB2312"/>
          <w:sz w:val="24"/>
        </w:rPr>
        <w:t xml:space="preserve">  日光温室西芹</w:t>
      </w:r>
      <w:r>
        <w:rPr>
          <w:rFonts w:hint="eastAsia" w:ascii="仿宋_GB2312" w:hAnsi="宋体" w:eastAsia="仿宋_GB2312"/>
          <w:sz w:val="24"/>
        </w:rPr>
        <w:t xml:space="preserve"> 地方标准征求意见汇总处理表</w:t>
      </w:r>
    </w:p>
    <w:p>
      <w:pPr>
        <w:tabs>
          <w:tab w:val="left" w:pos="11340"/>
        </w:tabs>
        <w:ind w:firstLine="420" w:firstLineChars="200"/>
        <w:jc w:val="left"/>
        <w:rPr>
          <w:rFonts w:ascii="宋体" w:hAnsi="宋体"/>
          <w:szCs w:val="21"/>
        </w:rPr>
      </w:pPr>
      <w:r>
        <w:rPr>
          <w:rFonts w:hint="eastAsia" w:ascii="宋体" w:hAnsi="宋体"/>
          <w:szCs w:val="21"/>
        </w:rPr>
        <w:t xml:space="preserve">起草单位：山西农业大学 </w:t>
      </w:r>
      <w:r>
        <w:rPr>
          <w:rFonts w:ascii="宋体" w:hAnsi="宋体"/>
          <w:szCs w:val="21"/>
        </w:rPr>
        <w:t xml:space="preserve">     </w:t>
      </w:r>
      <w:r>
        <w:rPr>
          <w:rFonts w:hint="eastAsia" w:ascii="宋体" w:hAnsi="宋体"/>
          <w:szCs w:val="21"/>
        </w:rPr>
        <w:t xml:space="preserve">  承办人：宋红霞 </w:t>
      </w:r>
      <w:r>
        <w:rPr>
          <w:rFonts w:ascii="宋体" w:hAnsi="宋体"/>
          <w:szCs w:val="21"/>
        </w:rPr>
        <w:t xml:space="preserve">               </w:t>
      </w:r>
      <w:r>
        <w:rPr>
          <w:rFonts w:hint="eastAsia" w:ascii="宋体" w:hAnsi="宋体"/>
          <w:szCs w:val="21"/>
        </w:rPr>
        <w:t xml:space="preserve"> 联系电话：13834836584       填写时间：</w:t>
      </w:r>
      <w:r>
        <w:rPr>
          <w:szCs w:val="21"/>
        </w:rPr>
        <w:t>2024年</w:t>
      </w:r>
      <w:r>
        <w:rPr>
          <w:rFonts w:hint="eastAsia"/>
          <w:szCs w:val="21"/>
        </w:rPr>
        <w:t>2</w:t>
      </w:r>
      <w:r>
        <w:rPr>
          <w:szCs w:val="21"/>
        </w:rPr>
        <w:t>月18日</w:t>
      </w:r>
      <w:r>
        <w:rPr>
          <w:rFonts w:hint="eastAsia" w:ascii="宋体" w:hAnsi="宋体"/>
          <w:szCs w:val="21"/>
        </w:rPr>
        <w:t xml:space="preserve">       </w:t>
      </w:r>
    </w:p>
    <w:p>
      <w:pPr>
        <w:tabs>
          <w:tab w:val="left" w:pos="11340"/>
        </w:tabs>
        <w:ind w:firstLine="420" w:firstLineChars="200"/>
        <w:jc w:val="left"/>
        <w:rPr>
          <w:rFonts w:ascii="宋体" w:hAnsi="宋体"/>
          <w:szCs w:val="21"/>
        </w:rPr>
      </w:pPr>
      <w:r>
        <w:rPr>
          <w:rFonts w:hint="eastAsia"/>
          <w:szCs w:val="21"/>
        </w:rPr>
        <w:t xml:space="preserve">               </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1843"/>
        <w:gridCol w:w="2693"/>
        <w:gridCol w:w="3875"/>
        <w:gridCol w:w="1224"/>
        <w:gridCol w:w="3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rPr>
                <w:rFonts w:eastAsia="仿宋_GB2312"/>
                <w:b/>
                <w:szCs w:val="21"/>
              </w:rPr>
            </w:pPr>
            <w:r>
              <w:rPr>
                <w:rFonts w:eastAsia="仿宋_GB2312"/>
                <w:b/>
                <w:szCs w:val="21"/>
              </w:rPr>
              <w:t>序号</w:t>
            </w:r>
          </w:p>
        </w:tc>
        <w:tc>
          <w:tcPr>
            <w:tcW w:w="1843" w:type="dxa"/>
            <w:vAlign w:val="center"/>
          </w:tcPr>
          <w:p>
            <w:pPr>
              <w:spacing w:line="380" w:lineRule="exact"/>
              <w:jc w:val="center"/>
              <w:rPr>
                <w:rFonts w:eastAsia="仿宋_GB2312"/>
                <w:b/>
                <w:szCs w:val="21"/>
              </w:rPr>
            </w:pPr>
            <w:r>
              <w:rPr>
                <w:rFonts w:hint="eastAsia" w:eastAsia="仿宋_GB2312"/>
                <w:b/>
                <w:szCs w:val="21"/>
              </w:rPr>
              <w:t>标准章条编号</w:t>
            </w:r>
          </w:p>
        </w:tc>
        <w:tc>
          <w:tcPr>
            <w:tcW w:w="2693" w:type="dxa"/>
            <w:vAlign w:val="center"/>
          </w:tcPr>
          <w:p>
            <w:pPr>
              <w:spacing w:line="380" w:lineRule="exact"/>
              <w:jc w:val="center"/>
              <w:rPr>
                <w:rFonts w:eastAsia="仿宋_GB2312"/>
                <w:b/>
                <w:szCs w:val="21"/>
              </w:rPr>
            </w:pPr>
            <w:r>
              <w:rPr>
                <w:rFonts w:eastAsia="仿宋_GB2312"/>
                <w:b/>
                <w:szCs w:val="21"/>
              </w:rPr>
              <w:t>意见</w:t>
            </w:r>
            <w:r>
              <w:rPr>
                <w:rFonts w:hint="eastAsia" w:eastAsia="仿宋_GB2312"/>
                <w:b/>
                <w:szCs w:val="21"/>
              </w:rPr>
              <w:t>内容</w:t>
            </w:r>
          </w:p>
        </w:tc>
        <w:tc>
          <w:tcPr>
            <w:tcW w:w="3875" w:type="dxa"/>
            <w:vAlign w:val="center"/>
          </w:tcPr>
          <w:p>
            <w:pPr>
              <w:spacing w:line="380" w:lineRule="exact"/>
              <w:jc w:val="center"/>
              <w:rPr>
                <w:rFonts w:eastAsia="仿宋_GB2312"/>
                <w:b/>
                <w:szCs w:val="21"/>
              </w:rPr>
            </w:pPr>
            <w:r>
              <w:rPr>
                <w:rFonts w:hint="eastAsia" w:eastAsia="仿宋_GB2312"/>
                <w:b/>
                <w:szCs w:val="21"/>
              </w:rPr>
              <w:t>提出单位（或个人）</w:t>
            </w:r>
          </w:p>
        </w:tc>
        <w:tc>
          <w:tcPr>
            <w:tcW w:w="1224" w:type="dxa"/>
            <w:vAlign w:val="center"/>
          </w:tcPr>
          <w:p>
            <w:pPr>
              <w:spacing w:line="380" w:lineRule="exact"/>
              <w:jc w:val="center"/>
              <w:rPr>
                <w:rFonts w:eastAsia="仿宋_GB2312"/>
                <w:b/>
                <w:szCs w:val="21"/>
              </w:rPr>
            </w:pPr>
            <w:r>
              <w:rPr>
                <w:rFonts w:hint="eastAsia" w:eastAsia="仿宋_GB2312"/>
                <w:b/>
                <w:szCs w:val="21"/>
              </w:rPr>
              <w:t>处理意见（</w:t>
            </w:r>
            <w:r>
              <w:rPr>
                <w:rFonts w:eastAsia="仿宋_GB2312"/>
                <w:b/>
                <w:szCs w:val="21"/>
              </w:rPr>
              <w:t>采纳</w:t>
            </w:r>
            <w:r>
              <w:rPr>
                <w:rFonts w:hint="eastAsia" w:eastAsia="仿宋_GB2312"/>
                <w:b/>
                <w:szCs w:val="21"/>
              </w:rPr>
              <w:t>/不采纳）</w:t>
            </w:r>
          </w:p>
        </w:tc>
        <w:tc>
          <w:tcPr>
            <w:tcW w:w="3002" w:type="dxa"/>
            <w:vAlign w:val="center"/>
          </w:tcPr>
          <w:p>
            <w:pPr>
              <w:spacing w:line="380" w:lineRule="exact"/>
              <w:jc w:val="center"/>
              <w:rPr>
                <w:rFonts w:eastAsia="仿宋_GB2312"/>
                <w:b/>
                <w:szCs w:val="21"/>
              </w:rPr>
            </w:pPr>
            <w:r>
              <w:rPr>
                <w:rFonts w:hint="eastAsia" w:eastAsia="仿宋_GB2312"/>
                <w:b/>
                <w:szCs w:val="21"/>
              </w:rPr>
              <w:t>意见处理说明</w:t>
            </w:r>
          </w:p>
          <w:p>
            <w:pPr>
              <w:spacing w:line="380" w:lineRule="exact"/>
              <w:jc w:val="center"/>
              <w:rPr>
                <w:rFonts w:eastAsia="仿宋_GB2312"/>
                <w:b/>
                <w:szCs w:val="21"/>
              </w:rPr>
            </w:pPr>
            <w:r>
              <w:rPr>
                <w:rFonts w:hint="eastAsia" w:eastAsia="仿宋_GB2312"/>
                <w:b/>
                <w:szCs w:val="21"/>
              </w:rPr>
              <w:t>（不采纳的理由等）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eastAsia="仿宋_GB2312"/>
                <w:bCs/>
                <w:szCs w:val="21"/>
              </w:rPr>
            </w:pPr>
            <w:r>
              <w:rPr>
                <w:rFonts w:eastAsia="仿宋_GB2312"/>
                <w:bCs/>
                <w:szCs w:val="21"/>
              </w:rPr>
              <w:t>1</w:t>
            </w:r>
          </w:p>
        </w:tc>
        <w:tc>
          <w:tcPr>
            <w:tcW w:w="1843" w:type="dxa"/>
            <w:vAlign w:val="center"/>
          </w:tcPr>
          <w:p>
            <w:pPr>
              <w:spacing w:line="380" w:lineRule="exact"/>
              <w:jc w:val="center"/>
              <w:rPr>
                <w:rFonts w:eastAsia="仿宋_GB2312"/>
                <w:bCs/>
                <w:szCs w:val="21"/>
              </w:rPr>
            </w:pPr>
            <w:r>
              <w:rPr>
                <w:rFonts w:eastAsia="仿宋_GB2312"/>
                <w:bCs/>
                <w:szCs w:val="21"/>
              </w:rPr>
              <w:t>条款7</w:t>
            </w:r>
          </w:p>
        </w:tc>
        <w:tc>
          <w:tcPr>
            <w:tcW w:w="2693" w:type="dxa"/>
            <w:vAlign w:val="center"/>
          </w:tcPr>
          <w:p>
            <w:pPr>
              <w:spacing w:line="380" w:lineRule="exact"/>
              <w:jc w:val="center"/>
              <w:rPr>
                <w:rFonts w:eastAsia="仿宋_GB2312"/>
                <w:bCs/>
                <w:szCs w:val="21"/>
              </w:rPr>
            </w:pPr>
            <w:r>
              <w:rPr>
                <w:rFonts w:hint="eastAsia" w:eastAsia="仿宋_GB2312"/>
                <w:bCs/>
                <w:szCs w:val="21"/>
              </w:rPr>
              <w:t>建议分开2整地和作畦两条</w:t>
            </w:r>
          </w:p>
        </w:tc>
        <w:tc>
          <w:tcPr>
            <w:tcW w:w="3875" w:type="dxa"/>
            <w:vAlign w:val="center"/>
          </w:tcPr>
          <w:p>
            <w:pPr>
              <w:spacing w:line="380" w:lineRule="exact"/>
              <w:jc w:val="center"/>
              <w:rPr>
                <w:rFonts w:eastAsia="仿宋_GB2312"/>
                <w:b/>
                <w:szCs w:val="21"/>
              </w:rPr>
            </w:pPr>
            <w:r>
              <w:rPr>
                <w:rFonts w:eastAsia="仿宋_GB2312"/>
                <w:szCs w:val="21"/>
              </w:rPr>
              <w:t>山西省园艺产业中心</w:t>
            </w:r>
          </w:p>
        </w:tc>
        <w:tc>
          <w:tcPr>
            <w:tcW w:w="1224" w:type="dxa"/>
            <w:vAlign w:val="center"/>
          </w:tcPr>
          <w:p>
            <w:pPr>
              <w:spacing w:line="380" w:lineRule="exact"/>
              <w:jc w:val="center"/>
              <w:rPr>
                <w:rFonts w:eastAsia="仿宋_GB2312"/>
                <w:bCs/>
                <w:szCs w:val="21"/>
              </w:rPr>
            </w:pPr>
            <w:r>
              <w:rPr>
                <w:rFonts w:eastAsia="仿宋_GB2312"/>
                <w:bCs/>
                <w:szCs w:val="21"/>
              </w:rPr>
              <w:t>采纳</w:t>
            </w:r>
          </w:p>
        </w:tc>
        <w:tc>
          <w:tcPr>
            <w:tcW w:w="3002"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eastAsia="仿宋_GB2312"/>
                <w:bCs/>
                <w:szCs w:val="21"/>
              </w:rPr>
            </w:pPr>
            <w:r>
              <w:rPr>
                <w:rFonts w:eastAsia="仿宋_GB2312"/>
                <w:bCs/>
                <w:szCs w:val="21"/>
              </w:rPr>
              <w:t>2</w:t>
            </w:r>
          </w:p>
        </w:tc>
        <w:tc>
          <w:tcPr>
            <w:tcW w:w="1843" w:type="dxa"/>
            <w:vAlign w:val="center"/>
          </w:tcPr>
          <w:p>
            <w:pPr>
              <w:spacing w:line="380" w:lineRule="exact"/>
              <w:jc w:val="center"/>
              <w:rPr>
                <w:rFonts w:eastAsia="仿宋_GB2312"/>
                <w:bCs/>
                <w:szCs w:val="21"/>
              </w:rPr>
            </w:pPr>
            <w:r>
              <w:rPr>
                <w:rFonts w:eastAsia="仿宋_GB2312"/>
                <w:bCs/>
                <w:szCs w:val="21"/>
              </w:rPr>
              <w:t>条款7</w:t>
            </w:r>
          </w:p>
        </w:tc>
        <w:tc>
          <w:tcPr>
            <w:tcW w:w="2693" w:type="dxa"/>
            <w:vAlign w:val="center"/>
          </w:tcPr>
          <w:p>
            <w:pPr>
              <w:spacing w:line="380" w:lineRule="exact"/>
              <w:jc w:val="center"/>
              <w:rPr>
                <w:rFonts w:eastAsia="仿宋_GB2312"/>
                <w:bCs/>
                <w:szCs w:val="21"/>
              </w:rPr>
            </w:pPr>
            <w:r>
              <w:rPr>
                <w:rFonts w:eastAsia="仿宋_GB2312"/>
                <w:bCs/>
                <w:szCs w:val="21"/>
              </w:rPr>
              <w:t>增加碳能肥和秸秆使用</w:t>
            </w:r>
          </w:p>
        </w:tc>
        <w:tc>
          <w:tcPr>
            <w:tcW w:w="3875" w:type="dxa"/>
            <w:vAlign w:val="center"/>
          </w:tcPr>
          <w:p>
            <w:pPr>
              <w:spacing w:line="380" w:lineRule="exact"/>
              <w:jc w:val="center"/>
              <w:rPr>
                <w:rFonts w:eastAsia="仿宋_GB2312"/>
                <w:szCs w:val="21"/>
              </w:rPr>
            </w:pPr>
            <w:r>
              <w:rPr>
                <w:rFonts w:eastAsia="仿宋_GB2312"/>
                <w:szCs w:val="21"/>
              </w:rPr>
              <w:t>山西省园艺产业中心</w:t>
            </w:r>
          </w:p>
        </w:tc>
        <w:tc>
          <w:tcPr>
            <w:tcW w:w="1224" w:type="dxa"/>
            <w:vAlign w:val="center"/>
          </w:tcPr>
          <w:p>
            <w:pPr>
              <w:spacing w:line="380" w:lineRule="exact"/>
              <w:jc w:val="center"/>
              <w:rPr>
                <w:rFonts w:eastAsia="仿宋_GB2312"/>
                <w:bCs/>
                <w:szCs w:val="21"/>
              </w:rPr>
            </w:pPr>
            <w:r>
              <w:rPr>
                <w:rFonts w:eastAsia="仿宋_GB2312"/>
                <w:bCs/>
                <w:szCs w:val="21"/>
              </w:rPr>
              <w:t>采纳</w:t>
            </w:r>
          </w:p>
        </w:tc>
        <w:tc>
          <w:tcPr>
            <w:tcW w:w="3002"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eastAsia="仿宋_GB2312"/>
                <w:bCs/>
                <w:szCs w:val="21"/>
              </w:rPr>
            </w:pPr>
            <w:r>
              <w:rPr>
                <w:rFonts w:eastAsia="仿宋_GB2312"/>
                <w:bCs/>
                <w:szCs w:val="21"/>
              </w:rPr>
              <w:t>3</w:t>
            </w:r>
          </w:p>
        </w:tc>
        <w:tc>
          <w:tcPr>
            <w:tcW w:w="1843" w:type="dxa"/>
            <w:vAlign w:val="center"/>
          </w:tcPr>
          <w:p>
            <w:pPr>
              <w:spacing w:line="380" w:lineRule="exact"/>
              <w:jc w:val="center"/>
              <w:rPr>
                <w:rFonts w:eastAsia="仿宋_GB2312"/>
                <w:bCs/>
                <w:szCs w:val="21"/>
              </w:rPr>
            </w:pPr>
            <w:r>
              <w:rPr>
                <w:rFonts w:eastAsia="仿宋_GB2312"/>
                <w:bCs/>
                <w:szCs w:val="21"/>
              </w:rPr>
              <w:t>条款7</w:t>
            </w:r>
          </w:p>
        </w:tc>
        <w:tc>
          <w:tcPr>
            <w:tcW w:w="2693" w:type="dxa"/>
            <w:vAlign w:val="center"/>
          </w:tcPr>
          <w:p>
            <w:pPr>
              <w:spacing w:line="380" w:lineRule="exact"/>
              <w:jc w:val="center"/>
              <w:rPr>
                <w:rFonts w:eastAsia="仿宋_GB2312"/>
                <w:bCs/>
                <w:szCs w:val="21"/>
              </w:rPr>
            </w:pPr>
            <w:r>
              <w:rPr>
                <w:rFonts w:eastAsia="仿宋_GB2312"/>
                <w:bCs/>
                <w:szCs w:val="21"/>
              </w:rPr>
              <w:t>增加利用深耕机深耕土壤</w:t>
            </w:r>
          </w:p>
        </w:tc>
        <w:tc>
          <w:tcPr>
            <w:tcW w:w="3875" w:type="dxa"/>
            <w:vAlign w:val="center"/>
          </w:tcPr>
          <w:p>
            <w:pPr>
              <w:spacing w:line="380" w:lineRule="exact"/>
              <w:jc w:val="center"/>
              <w:rPr>
                <w:rFonts w:eastAsia="仿宋_GB2312"/>
                <w:b/>
                <w:szCs w:val="21"/>
              </w:rPr>
            </w:pPr>
            <w:r>
              <w:rPr>
                <w:rFonts w:eastAsia="仿宋_GB2312"/>
                <w:szCs w:val="21"/>
              </w:rPr>
              <w:t>山西省园艺产业中心</w:t>
            </w:r>
          </w:p>
        </w:tc>
        <w:tc>
          <w:tcPr>
            <w:tcW w:w="1224" w:type="dxa"/>
            <w:vAlign w:val="center"/>
          </w:tcPr>
          <w:p>
            <w:pPr>
              <w:spacing w:line="380" w:lineRule="exact"/>
              <w:jc w:val="center"/>
              <w:rPr>
                <w:rFonts w:eastAsia="仿宋_GB2312"/>
                <w:bCs/>
                <w:szCs w:val="21"/>
              </w:rPr>
            </w:pPr>
            <w:r>
              <w:rPr>
                <w:rFonts w:eastAsia="仿宋_GB2312"/>
                <w:bCs/>
                <w:szCs w:val="21"/>
              </w:rPr>
              <w:t>采纳</w:t>
            </w:r>
          </w:p>
        </w:tc>
        <w:tc>
          <w:tcPr>
            <w:tcW w:w="3002"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eastAsia="仿宋_GB2312"/>
                <w:bCs/>
                <w:szCs w:val="21"/>
              </w:rPr>
            </w:pPr>
            <w:r>
              <w:rPr>
                <w:rFonts w:eastAsia="仿宋_GB2312"/>
                <w:bCs/>
                <w:szCs w:val="21"/>
              </w:rPr>
              <w:t>4</w:t>
            </w:r>
          </w:p>
        </w:tc>
        <w:tc>
          <w:tcPr>
            <w:tcW w:w="1843" w:type="dxa"/>
            <w:vAlign w:val="center"/>
          </w:tcPr>
          <w:p>
            <w:pPr>
              <w:spacing w:line="380" w:lineRule="exact"/>
              <w:jc w:val="center"/>
              <w:rPr>
                <w:rFonts w:eastAsia="仿宋_GB2312"/>
                <w:bCs/>
                <w:szCs w:val="21"/>
              </w:rPr>
            </w:pPr>
            <w:r>
              <w:rPr>
                <w:rFonts w:eastAsia="仿宋_GB2312"/>
                <w:bCs/>
                <w:szCs w:val="21"/>
              </w:rPr>
              <w:t>条款9.2</w:t>
            </w:r>
          </w:p>
        </w:tc>
        <w:tc>
          <w:tcPr>
            <w:tcW w:w="2693" w:type="dxa"/>
            <w:vAlign w:val="center"/>
          </w:tcPr>
          <w:p>
            <w:pPr>
              <w:spacing w:line="380" w:lineRule="exact"/>
              <w:jc w:val="center"/>
              <w:rPr>
                <w:rFonts w:eastAsia="仿宋_GB2312"/>
                <w:bCs/>
                <w:szCs w:val="21"/>
              </w:rPr>
            </w:pPr>
            <w:r>
              <w:rPr>
                <w:rFonts w:eastAsia="仿宋_GB2312"/>
                <w:bCs/>
                <w:szCs w:val="21"/>
              </w:rPr>
              <w:t>删除铺黑色地膜</w:t>
            </w:r>
          </w:p>
        </w:tc>
        <w:tc>
          <w:tcPr>
            <w:tcW w:w="3875" w:type="dxa"/>
            <w:vAlign w:val="center"/>
          </w:tcPr>
          <w:p>
            <w:pPr>
              <w:spacing w:line="380" w:lineRule="exact"/>
              <w:jc w:val="center"/>
              <w:rPr>
                <w:rFonts w:eastAsia="仿宋_GB2312"/>
                <w:szCs w:val="21"/>
              </w:rPr>
            </w:pPr>
            <w:r>
              <w:rPr>
                <w:rFonts w:eastAsia="仿宋_GB2312"/>
                <w:szCs w:val="21"/>
              </w:rPr>
              <w:t>山西省蔬菜产业技术体系</w:t>
            </w:r>
          </w:p>
        </w:tc>
        <w:tc>
          <w:tcPr>
            <w:tcW w:w="1224" w:type="dxa"/>
            <w:vAlign w:val="center"/>
          </w:tcPr>
          <w:p>
            <w:pPr>
              <w:spacing w:line="380" w:lineRule="exact"/>
              <w:jc w:val="center"/>
              <w:rPr>
                <w:rFonts w:eastAsia="仿宋_GB2312"/>
                <w:bCs/>
                <w:szCs w:val="21"/>
              </w:rPr>
            </w:pPr>
            <w:r>
              <w:rPr>
                <w:rFonts w:eastAsia="仿宋_GB2312"/>
                <w:bCs/>
                <w:szCs w:val="21"/>
              </w:rPr>
              <w:t>采纳</w:t>
            </w:r>
          </w:p>
        </w:tc>
        <w:tc>
          <w:tcPr>
            <w:tcW w:w="3002"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eastAsia="仿宋_GB2312"/>
                <w:bCs/>
                <w:szCs w:val="21"/>
              </w:rPr>
            </w:pPr>
            <w:r>
              <w:rPr>
                <w:rFonts w:eastAsia="仿宋_GB2312"/>
                <w:bCs/>
                <w:szCs w:val="21"/>
              </w:rPr>
              <w:t>5</w:t>
            </w:r>
          </w:p>
        </w:tc>
        <w:tc>
          <w:tcPr>
            <w:tcW w:w="1843" w:type="dxa"/>
            <w:vAlign w:val="center"/>
          </w:tcPr>
          <w:p>
            <w:pPr>
              <w:spacing w:line="380" w:lineRule="exact"/>
              <w:jc w:val="center"/>
              <w:rPr>
                <w:rFonts w:eastAsia="仿宋_GB2312"/>
                <w:bCs/>
                <w:szCs w:val="21"/>
              </w:rPr>
            </w:pPr>
            <w:r>
              <w:rPr>
                <w:rFonts w:eastAsia="仿宋_GB2312"/>
                <w:bCs/>
                <w:szCs w:val="21"/>
              </w:rPr>
              <w:t>条款10.</w:t>
            </w:r>
            <w:r>
              <w:rPr>
                <w:rFonts w:hint="eastAsia" w:eastAsia="仿宋_GB2312"/>
                <w:bCs/>
                <w:szCs w:val="21"/>
              </w:rPr>
              <w:t>2</w:t>
            </w:r>
          </w:p>
        </w:tc>
        <w:tc>
          <w:tcPr>
            <w:tcW w:w="2693" w:type="dxa"/>
            <w:vAlign w:val="center"/>
          </w:tcPr>
          <w:p>
            <w:pPr>
              <w:spacing w:line="380" w:lineRule="exact"/>
              <w:jc w:val="center"/>
              <w:rPr>
                <w:rFonts w:eastAsia="仿宋_GB2312"/>
                <w:bCs/>
                <w:szCs w:val="21"/>
              </w:rPr>
            </w:pPr>
            <w:r>
              <w:rPr>
                <w:rFonts w:eastAsia="仿宋_GB2312"/>
                <w:bCs/>
                <w:szCs w:val="21"/>
              </w:rPr>
              <w:t>修改施肥方法</w:t>
            </w:r>
          </w:p>
        </w:tc>
        <w:tc>
          <w:tcPr>
            <w:tcW w:w="3875" w:type="dxa"/>
            <w:vAlign w:val="center"/>
          </w:tcPr>
          <w:p>
            <w:pPr>
              <w:spacing w:line="380" w:lineRule="exact"/>
              <w:jc w:val="center"/>
              <w:rPr>
                <w:rFonts w:eastAsia="仿宋_GB2312"/>
                <w:b/>
                <w:szCs w:val="21"/>
              </w:rPr>
            </w:pPr>
            <w:r>
              <w:rPr>
                <w:rFonts w:eastAsia="仿宋_GB2312"/>
                <w:szCs w:val="21"/>
              </w:rPr>
              <w:t>山西省蔬菜产业技术体系</w:t>
            </w:r>
          </w:p>
        </w:tc>
        <w:tc>
          <w:tcPr>
            <w:tcW w:w="1224" w:type="dxa"/>
            <w:vAlign w:val="center"/>
          </w:tcPr>
          <w:p>
            <w:pPr>
              <w:spacing w:line="380" w:lineRule="exact"/>
              <w:jc w:val="center"/>
              <w:rPr>
                <w:rFonts w:eastAsia="仿宋_GB2312"/>
                <w:bCs/>
                <w:szCs w:val="21"/>
              </w:rPr>
            </w:pPr>
            <w:r>
              <w:rPr>
                <w:rFonts w:eastAsia="仿宋_GB2312"/>
                <w:bCs/>
                <w:szCs w:val="21"/>
              </w:rPr>
              <w:t>采纳</w:t>
            </w:r>
          </w:p>
        </w:tc>
        <w:tc>
          <w:tcPr>
            <w:tcW w:w="3002"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eastAsia="仿宋_GB2312"/>
                <w:bCs/>
                <w:szCs w:val="21"/>
              </w:rPr>
            </w:pPr>
            <w:r>
              <w:rPr>
                <w:rFonts w:eastAsia="仿宋_GB2312"/>
                <w:bCs/>
                <w:szCs w:val="21"/>
              </w:rPr>
              <w:t>6</w:t>
            </w:r>
          </w:p>
        </w:tc>
        <w:tc>
          <w:tcPr>
            <w:tcW w:w="1843" w:type="dxa"/>
            <w:vAlign w:val="center"/>
          </w:tcPr>
          <w:p>
            <w:pPr>
              <w:spacing w:line="380" w:lineRule="exact"/>
              <w:jc w:val="center"/>
              <w:rPr>
                <w:rFonts w:eastAsia="仿宋_GB2312"/>
                <w:bCs/>
                <w:szCs w:val="21"/>
              </w:rPr>
            </w:pPr>
            <w:r>
              <w:rPr>
                <w:rFonts w:hint="eastAsia" w:eastAsia="仿宋_GB2312"/>
                <w:bCs/>
                <w:szCs w:val="21"/>
              </w:rPr>
              <w:t>条款10.3</w:t>
            </w:r>
          </w:p>
        </w:tc>
        <w:tc>
          <w:tcPr>
            <w:tcW w:w="2693" w:type="dxa"/>
            <w:vAlign w:val="center"/>
          </w:tcPr>
          <w:p>
            <w:pPr>
              <w:spacing w:line="380" w:lineRule="exact"/>
              <w:jc w:val="center"/>
              <w:rPr>
                <w:rFonts w:eastAsia="仿宋_GB2312"/>
                <w:bCs/>
                <w:szCs w:val="21"/>
              </w:rPr>
            </w:pPr>
            <w:r>
              <w:rPr>
                <w:rFonts w:hint="eastAsia" w:eastAsia="仿宋_GB2312"/>
                <w:bCs/>
                <w:szCs w:val="21"/>
              </w:rPr>
              <w:t>修改施肥浓度</w:t>
            </w:r>
          </w:p>
        </w:tc>
        <w:tc>
          <w:tcPr>
            <w:tcW w:w="3875" w:type="dxa"/>
            <w:vAlign w:val="center"/>
          </w:tcPr>
          <w:p>
            <w:pPr>
              <w:spacing w:line="380" w:lineRule="exact"/>
              <w:jc w:val="center"/>
              <w:rPr>
                <w:rFonts w:eastAsia="仿宋_GB2312"/>
                <w:szCs w:val="21"/>
              </w:rPr>
            </w:pPr>
            <w:r>
              <w:rPr>
                <w:rFonts w:eastAsia="仿宋_GB2312"/>
                <w:szCs w:val="21"/>
              </w:rPr>
              <w:t>山西省蔬菜产业技术体系</w:t>
            </w:r>
          </w:p>
        </w:tc>
        <w:tc>
          <w:tcPr>
            <w:tcW w:w="1224" w:type="dxa"/>
            <w:vAlign w:val="center"/>
          </w:tcPr>
          <w:p>
            <w:pPr>
              <w:spacing w:line="380" w:lineRule="exact"/>
              <w:jc w:val="center"/>
              <w:rPr>
                <w:rFonts w:eastAsia="仿宋_GB2312"/>
                <w:bCs/>
                <w:szCs w:val="21"/>
              </w:rPr>
            </w:pPr>
            <w:r>
              <w:rPr>
                <w:rFonts w:eastAsia="仿宋_GB2312"/>
                <w:bCs/>
                <w:szCs w:val="21"/>
              </w:rPr>
              <w:t>采纳</w:t>
            </w:r>
          </w:p>
        </w:tc>
        <w:tc>
          <w:tcPr>
            <w:tcW w:w="3002"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eastAsia="仿宋_GB2312"/>
                <w:bCs/>
                <w:szCs w:val="21"/>
              </w:rPr>
            </w:pPr>
            <w:r>
              <w:rPr>
                <w:rFonts w:eastAsia="仿宋_GB2312"/>
                <w:bCs/>
                <w:szCs w:val="21"/>
              </w:rPr>
              <w:t>7</w:t>
            </w:r>
          </w:p>
        </w:tc>
        <w:tc>
          <w:tcPr>
            <w:tcW w:w="1843" w:type="dxa"/>
            <w:vAlign w:val="center"/>
          </w:tcPr>
          <w:p>
            <w:pPr>
              <w:spacing w:line="400" w:lineRule="exact"/>
              <w:ind w:firstLine="420" w:firstLineChars="200"/>
              <w:rPr>
                <w:rFonts w:eastAsia="仿宋_GB2312"/>
                <w:bCs/>
                <w:szCs w:val="21"/>
              </w:rPr>
            </w:pPr>
            <w:r>
              <w:rPr>
                <w:rFonts w:hint="eastAsia" w:eastAsia="仿宋_GB2312"/>
                <w:bCs/>
                <w:szCs w:val="21"/>
              </w:rPr>
              <w:t>条款8</w:t>
            </w:r>
          </w:p>
        </w:tc>
        <w:tc>
          <w:tcPr>
            <w:tcW w:w="2693" w:type="dxa"/>
            <w:vAlign w:val="center"/>
          </w:tcPr>
          <w:p>
            <w:pPr>
              <w:spacing w:line="380" w:lineRule="exact"/>
              <w:jc w:val="center"/>
              <w:rPr>
                <w:rFonts w:eastAsia="仿宋_GB2312"/>
                <w:bCs/>
                <w:szCs w:val="21"/>
              </w:rPr>
            </w:pPr>
            <w:r>
              <w:rPr>
                <w:rFonts w:hint="eastAsia" w:eastAsia="仿宋_GB2312"/>
                <w:bCs/>
                <w:szCs w:val="21"/>
              </w:rPr>
              <w:t>建议8.2和8.3调整顺序</w:t>
            </w:r>
          </w:p>
        </w:tc>
        <w:tc>
          <w:tcPr>
            <w:tcW w:w="3875" w:type="dxa"/>
            <w:vAlign w:val="center"/>
          </w:tcPr>
          <w:p>
            <w:pPr>
              <w:spacing w:line="380" w:lineRule="exact"/>
              <w:jc w:val="center"/>
              <w:rPr>
                <w:rFonts w:eastAsia="仿宋_GB2312"/>
                <w:b/>
                <w:szCs w:val="21"/>
              </w:rPr>
            </w:pPr>
            <w:r>
              <w:rPr>
                <w:rFonts w:eastAsia="仿宋_GB2312"/>
                <w:szCs w:val="21"/>
              </w:rPr>
              <w:t>泽州县蔬菜事业中心</w:t>
            </w:r>
          </w:p>
        </w:tc>
        <w:tc>
          <w:tcPr>
            <w:tcW w:w="1224" w:type="dxa"/>
            <w:vAlign w:val="center"/>
          </w:tcPr>
          <w:p>
            <w:pPr>
              <w:spacing w:line="380" w:lineRule="exact"/>
              <w:jc w:val="center"/>
              <w:rPr>
                <w:rFonts w:eastAsia="仿宋_GB2312"/>
                <w:bCs/>
                <w:szCs w:val="21"/>
              </w:rPr>
            </w:pPr>
            <w:r>
              <w:rPr>
                <w:rFonts w:eastAsia="仿宋_GB2312"/>
                <w:bCs/>
                <w:szCs w:val="21"/>
              </w:rPr>
              <w:t>采纳</w:t>
            </w:r>
          </w:p>
        </w:tc>
        <w:tc>
          <w:tcPr>
            <w:tcW w:w="3002"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eastAsia="仿宋_GB2312"/>
                <w:bCs/>
                <w:szCs w:val="21"/>
              </w:rPr>
            </w:pPr>
            <w:r>
              <w:rPr>
                <w:rFonts w:hint="eastAsia" w:eastAsia="仿宋_GB2312"/>
                <w:bCs/>
                <w:szCs w:val="21"/>
              </w:rPr>
              <w:t>8</w:t>
            </w:r>
          </w:p>
        </w:tc>
        <w:tc>
          <w:tcPr>
            <w:tcW w:w="1843" w:type="dxa"/>
            <w:vAlign w:val="center"/>
          </w:tcPr>
          <w:p>
            <w:pPr>
              <w:spacing w:line="380" w:lineRule="exact"/>
              <w:jc w:val="center"/>
              <w:rPr>
                <w:rFonts w:eastAsia="仿宋_GB2312"/>
                <w:bCs/>
                <w:szCs w:val="21"/>
              </w:rPr>
            </w:pPr>
            <w:r>
              <w:rPr>
                <w:rFonts w:eastAsia="仿宋_GB2312"/>
                <w:bCs/>
                <w:szCs w:val="21"/>
              </w:rPr>
              <w:t xml:space="preserve">条款6.2 </w:t>
            </w:r>
          </w:p>
        </w:tc>
        <w:tc>
          <w:tcPr>
            <w:tcW w:w="2693" w:type="dxa"/>
            <w:vAlign w:val="center"/>
          </w:tcPr>
          <w:p>
            <w:pPr>
              <w:spacing w:line="380" w:lineRule="exact"/>
              <w:jc w:val="center"/>
              <w:rPr>
                <w:rFonts w:eastAsia="仿宋_GB2312"/>
                <w:bCs/>
                <w:szCs w:val="21"/>
              </w:rPr>
            </w:pPr>
            <w:r>
              <w:rPr>
                <w:rFonts w:eastAsia="仿宋_GB2312"/>
                <w:bCs/>
                <w:szCs w:val="21"/>
              </w:rPr>
              <w:t>育苗穴盘增加2</w:t>
            </w:r>
            <w:r>
              <w:rPr>
                <w:rFonts w:hint="eastAsia" w:eastAsia="仿宋_GB2312"/>
                <w:bCs/>
                <w:szCs w:val="21"/>
              </w:rPr>
              <w:t>00</w:t>
            </w:r>
            <w:r>
              <w:rPr>
                <w:rFonts w:eastAsia="仿宋_GB2312"/>
                <w:bCs/>
                <w:szCs w:val="21"/>
              </w:rPr>
              <w:t>孔</w:t>
            </w:r>
          </w:p>
        </w:tc>
        <w:tc>
          <w:tcPr>
            <w:tcW w:w="3875" w:type="dxa"/>
            <w:vAlign w:val="center"/>
          </w:tcPr>
          <w:p>
            <w:pPr>
              <w:spacing w:line="380" w:lineRule="exact"/>
              <w:jc w:val="center"/>
              <w:rPr>
                <w:rFonts w:eastAsia="仿宋_GB2312"/>
                <w:b/>
                <w:szCs w:val="21"/>
              </w:rPr>
            </w:pPr>
            <w:r>
              <w:rPr>
                <w:rFonts w:eastAsia="仿宋_GB2312"/>
                <w:szCs w:val="21"/>
              </w:rPr>
              <w:t>泽州县蔬菜事业中心</w:t>
            </w:r>
          </w:p>
        </w:tc>
        <w:tc>
          <w:tcPr>
            <w:tcW w:w="1224" w:type="dxa"/>
            <w:vAlign w:val="center"/>
          </w:tcPr>
          <w:p>
            <w:pPr>
              <w:spacing w:line="380" w:lineRule="exact"/>
              <w:jc w:val="center"/>
              <w:rPr>
                <w:rFonts w:eastAsia="仿宋_GB2312"/>
                <w:bCs/>
                <w:szCs w:val="21"/>
              </w:rPr>
            </w:pPr>
            <w:r>
              <w:rPr>
                <w:rFonts w:eastAsia="仿宋_GB2312"/>
                <w:bCs/>
                <w:szCs w:val="21"/>
              </w:rPr>
              <w:t>采纳</w:t>
            </w:r>
          </w:p>
        </w:tc>
        <w:tc>
          <w:tcPr>
            <w:tcW w:w="3002"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eastAsia="仿宋_GB2312"/>
                <w:bCs/>
                <w:szCs w:val="21"/>
              </w:rPr>
            </w:pPr>
            <w:r>
              <w:rPr>
                <w:rFonts w:hint="eastAsia" w:eastAsia="仿宋_GB2312"/>
                <w:bCs/>
                <w:szCs w:val="21"/>
              </w:rPr>
              <w:t>9</w:t>
            </w:r>
          </w:p>
        </w:tc>
        <w:tc>
          <w:tcPr>
            <w:tcW w:w="1843" w:type="dxa"/>
            <w:vAlign w:val="center"/>
          </w:tcPr>
          <w:p>
            <w:pPr>
              <w:spacing w:line="380" w:lineRule="exact"/>
              <w:jc w:val="center"/>
              <w:rPr>
                <w:rFonts w:eastAsia="仿宋_GB2312"/>
                <w:bCs/>
                <w:szCs w:val="21"/>
              </w:rPr>
            </w:pPr>
            <w:r>
              <w:rPr>
                <w:rFonts w:eastAsia="仿宋_GB2312"/>
                <w:bCs/>
                <w:szCs w:val="21"/>
              </w:rPr>
              <w:t>条款7</w:t>
            </w:r>
          </w:p>
        </w:tc>
        <w:tc>
          <w:tcPr>
            <w:tcW w:w="2693" w:type="dxa"/>
            <w:vAlign w:val="center"/>
          </w:tcPr>
          <w:p>
            <w:pPr>
              <w:spacing w:line="380" w:lineRule="exact"/>
              <w:jc w:val="center"/>
              <w:rPr>
                <w:rFonts w:eastAsia="仿宋_GB2312"/>
                <w:bCs/>
                <w:szCs w:val="21"/>
              </w:rPr>
            </w:pPr>
            <w:r>
              <w:rPr>
                <w:rFonts w:eastAsia="仿宋_GB2312"/>
                <w:bCs/>
                <w:szCs w:val="21"/>
              </w:rPr>
              <w:t>有机肥实用量范围增加3000-5000kg</w:t>
            </w:r>
          </w:p>
        </w:tc>
        <w:tc>
          <w:tcPr>
            <w:tcW w:w="3875" w:type="dxa"/>
            <w:vAlign w:val="center"/>
          </w:tcPr>
          <w:p>
            <w:pPr>
              <w:spacing w:line="380" w:lineRule="exact"/>
              <w:jc w:val="center"/>
              <w:rPr>
                <w:rFonts w:eastAsia="仿宋_GB2312"/>
                <w:szCs w:val="21"/>
              </w:rPr>
            </w:pPr>
            <w:r>
              <w:rPr>
                <w:rFonts w:eastAsia="仿宋_GB2312"/>
                <w:szCs w:val="21"/>
              </w:rPr>
              <w:t>晋中市太谷区范村镇姚永利蔬菜种植园</w:t>
            </w:r>
          </w:p>
        </w:tc>
        <w:tc>
          <w:tcPr>
            <w:tcW w:w="1224" w:type="dxa"/>
            <w:vAlign w:val="center"/>
          </w:tcPr>
          <w:p>
            <w:pPr>
              <w:spacing w:line="380" w:lineRule="exact"/>
              <w:jc w:val="center"/>
              <w:rPr>
                <w:rFonts w:eastAsia="仿宋_GB2312"/>
                <w:bCs/>
                <w:szCs w:val="21"/>
              </w:rPr>
            </w:pPr>
            <w:r>
              <w:rPr>
                <w:rFonts w:eastAsia="仿宋_GB2312"/>
                <w:bCs/>
                <w:szCs w:val="21"/>
              </w:rPr>
              <w:t>采纳</w:t>
            </w:r>
          </w:p>
        </w:tc>
        <w:tc>
          <w:tcPr>
            <w:tcW w:w="3002"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eastAsia="仿宋_GB2312"/>
                <w:bCs/>
                <w:szCs w:val="21"/>
              </w:rPr>
            </w:pPr>
            <w:r>
              <w:rPr>
                <w:rFonts w:hint="eastAsia" w:eastAsia="仿宋_GB2312"/>
                <w:bCs/>
                <w:szCs w:val="21"/>
              </w:rPr>
              <w:t>10</w:t>
            </w:r>
          </w:p>
        </w:tc>
        <w:tc>
          <w:tcPr>
            <w:tcW w:w="1843" w:type="dxa"/>
            <w:vAlign w:val="center"/>
          </w:tcPr>
          <w:p>
            <w:pPr>
              <w:spacing w:line="380" w:lineRule="exact"/>
              <w:jc w:val="center"/>
              <w:rPr>
                <w:rFonts w:eastAsia="仿宋_GB2312"/>
                <w:bCs/>
                <w:szCs w:val="21"/>
              </w:rPr>
            </w:pPr>
            <w:r>
              <w:rPr>
                <w:rFonts w:eastAsia="仿宋_GB2312"/>
                <w:bCs/>
                <w:szCs w:val="21"/>
              </w:rPr>
              <w:t xml:space="preserve">条款7 </w:t>
            </w:r>
          </w:p>
        </w:tc>
        <w:tc>
          <w:tcPr>
            <w:tcW w:w="2693" w:type="dxa"/>
            <w:vAlign w:val="center"/>
          </w:tcPr>
          <w:p>
            <w:pPr>
              <w:spacing w:line="380" w:lineRule="exact"/>
              <w:jc w:val="center"/>
              <w:rPr>
                <w:rFonts w:eastAsia="仿宋_GB2312"/>
                <w:bCs/>
                <w:szCs w:val="21"/>
              </w:rPr>
            </w:pPr>
            <w:r>
              <w:rPr>
                <w:rFonts w:eastAsia="仿宋_GB2312"/>
                <w:bCs/>
                <w:szCs w:val="21"/>
              </w:rPr>
              <w:t>更改畦宽</w:t>
            </w:r>
          </w:p>
        </w:tc>
        <w:tc>
          <w:tcPr>
            <w:tcW w:w="3875" w:type="dxa"/>
            <w:vAlign w:val="center"/>
          </w:tcPr>
          <w:p>
            <w:pPr>
              <w:spacing w:line="400" w:lineRule="exact"/>
              <w:rPr>
                <w:rFonts w:eastAsia="仿宋_GB2312"/>
                <w:bCs/>
                <w:szCs w:val="21"/>
              </w:rPr>
            </w:pPr>
            <w:r>
              <w:rPr>
                <w:rFonts w:eastAsia="仿宋_GB2312"/>
                <w:szCs w:val="21"/>
              </w:rPr>
              <w:t>兴沃智慧农业有限公司</w:t>
            </w:r>
          </w:p>
        </w:tc>
        <w:tc>
          <w:tcPr>
            <w:tcW w:w="1224" w:type="dxa"/>
            <w:vAlign w:val="center"/>
          </w:tcPr>
          <w:p>
            <w:pPr>
              <w:spacing w:line="380" w:lineRule="exact"/>
              <w:jc w:val="center"/>
              <w:rPr>
                <w:rFonts w:eastAsia="仿宋_GB2312"/>
                <w:bCs/>
                <w:szCs w:val="21"/>
              </w:rPr>
            </w:pPr>
            <w:r>
              <w:rPr>
                <w:rFonts w:eastAsia="仿宋_GB2312"/>
                <w:bCs/>
                <w:szCs w:val="21"/>
              </w:rPr>
              <w:t>采纳</w:t>
            </w:r>
          </w:p>
        </w:tc>
        <w:tc>
          <w:tcPr>
            <w:tcW w:w="3002"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3585" w:type="dxa"/>
            <w:gridSpan w:val="6"/>
            <w:vAlign w:val="center"/>
          </w:tcPr>
          <w:p>
            <w:pPr>
              <w:jc w:val="left"/>
              <w:rPr>
                <w:rFonts w:eastAsia="仿宋_GB2312"/>
                <w:sz w:val="24"/>
              </w:rPr>
            </w:pPr>
            <w:r>
              <w:rPr>
                <w:rFonts w:eastAsia="仿宋_GB2312"/>
                <w:b/>
                <w:szCs w:val="21"/>
              </w:rPr>
              <w:t>说明：</w:t>
            </w:r>
            <w:r>
              <w:rPr>
                <w:color w:val="000000"/>
                <w:sz w:val="18"/>
                <w:szCs w:val="18"/>
              </w:rPr>
              <w:t>发送征求意见稿单位数</w:t>
            </w:r>
            <w:r>
              <w:rPr>
                <w:color w:val="000000"/>
                <w:sz w:val="18"/>
                <w:szCs w:val="18"/>
                <w:u w:val="single"/>
              </w:rPr>
              <w:t xml:space="preserve">  5  </w:t>
            </w:r>
            <w:r>
              <w:rPr>
                <w:color w:val="000000"/>
                <w:sz w:val="18"/>
                <w:szCs w:val="18"/>
              </w:rPr>
              <w:t>个；回到征求意见稿回函的单位数</w:t>
            </w:r>
            <w:r>
              <w:rPr>
                <w:color w:val="000000"/>
                <w:sz w:val="18"/>
                <w:szCs w:val="18"/>
                <w:u w:val="single"/>
              </w:rPr>
              <w:t xml:space="preserve">  5  </w:t>
            </w:r>
            <w:r>
              <w:rPr>
                <w:color w:val="000000"/>
                <w:sz w:val="18"/>
                <w:szCs w:val="18"/>
              </w:rPr>
              <w:t>个；收到征求意见稿并提出意见的单位数</w:t>
            </w:r>
            <w:r>
              <w:rPr>
                <w:color w:val="000000"/>
                <w:sz w:val="18"/>
                <w:szCs w:val="18"/>
                <w:u w:val="single"/>
              </w:rPr>
              <w:t xml:space="preserve">  5  </w:t>
            </w:r>
            <w:r>
              <w:rPr>
                <w:color w:val="000000"/>
                <w:sz w:val="18"/>
                <w:szCs w:val="18"/>
              </w:rPr>
              <w:t>个；没有回函的单位数</w:t>
            </w:r>
            <w:r>
              <w:rPr>
                <w:color w:val="000000"/>
                <w:sz w:val="18"/>
                <w:szCs w:val="18"/>
                <w:u w:val="single"/>
              </w:rPr>
              <w:t xml:space="preserve">  0  </w:t>
            </w:r>
            <w:r>
              <w:rPr>
                <w:color w:val="000000"/>
                <w:sz w:val="18"/>
                <w:szCs w:val="18"/>
              </w:rPr>
              <w:t>个；共收到</w:t>
            </w:r>
            <w:r>
              <w:rPr>
                <w:color w:val="000000"/>
                <w:sz w:val="18"/>
                <w:szCs w:val="18"/>
                <w:u w:val="single"/>
              </w:rPr>
              <w:t xml:space="preserve">  </w:t>
            </w:r>
            <w:r>
              <w:rPr>
                <w:rFonts w:hint="eastAsia"/>
                <w:color w:val="000000"/>
                <w:sz w:val="18"/>
                <w:szCs w:val="18"/>
                <w:u w:val="single"/>
              </w:rPr>
              <w:t>10</w:t>
            </w:r>
            <w:r>
              <w:rPr>
                <w:color w:val="000000"/>
                <w:sz w:val="18"/>
                <w:szCs w:val="18"/>
                <w:u w:val="single"/>
              </w:rPr>
              <w:t xml:space="preserve">  </w:t>
            </w:r>
            <w:r>
              <w:rPr>
                <w:color w:val="000000"/>
                <w:sz w:val="18"/>
                <w:szCs w:val="18"/>
              </w:rPr>
              <w:t>条意见，采纳</w:t>
            </w:r>
            <w:r>
              <w:rPr>
                <w:color w:val="000000"/>
                <w:sz w:val="18"/>
                <w:szCs w:val="18"/>
                <w:u w:val="single"/>
              </w:rPr>
              <w:t xml:space="preserve">  </w:t>
            </w:r>
            <w:r>
              <w:rPr>
                <w:rFonts w:hint="eastAsia"/>
                <w:color w:val="000000"/>
                <w:sz w:val="18"/>
                <w:szCs w:val="18"/>
                <w:u w:val="single"/>
              </w:rPr>
              <w:t>10</w:t>
            </w:r>
            <w:r>
              <w:rPr>
                <w:color w:val="000000"/>
                <w:sz w:val="18"/>
                <w:szCs w:val="18"/>
                <w:u w:val="single"/>
              </w:rPr>
              <w:t xml:space="preserve">  </w:t>
            </w:r>
            <w:r>
              <w:rPr>
                <w:color w:val="000000"/>
                <w:sz w:val="18"/>
                <w:szCs w:val="18"/>
              </w:rPr>
              <w:t>条意见，部分采纳</w:t>
            </w:r>
            <w:r>
              <w:rPr>
                <w:color w:val="000000"/>
                <w:sz w:val="18"/>
                <w:szCs w:val="18"/>
                <w:u w:val="single"/>
              </w:rPr>
              <w:t xml:space="preserve">  0  </w:t>
            </w:r>
            <w:r>
              <w:rPr>
                <w:color w:val="000000"/>
                <w:sz w:val="18"/>
                <w:szCs w:val="18"/>
              </w:rPr>
              <w:t>条意见，未采纳</w:t>
            </w:r>
            <w:r>
              <w:rPr>
                <w:color w:val="000000"/>
                <w:sz w:val="18"/>
                <w:szCs w:val="18"/>
                <w:u w:val="single"/>
              </w:rPr>
              <w:t xml:space="preserve">  0  </w:t>
            </w:r>
            <w:r>
              <w:rPr>
                <w:color w:val="000000"/>
                <w:sz w:val="18"/>
                <w:szCs w:val="18"/>
              </w:rPr>
              <w:t>条意见</w:t>
            </w:r>
            <w:r>
              <w:rPr>
                <w:rFonts w:eastAsia="仿宋_GB2312"/>
              </w:rPr>
              <w:t>。</w:t>
            </w:r>
          </w:p>
        </w:tc>
      </w:tr>
    </w:tbl>
    <w:p>
      <w:pPr>
        <w:jc w:val="center"/>
        <w:rPr>
          <w:rFonts w:ascii="仿宋_GB2312" w:hAnsi="宋体" w:eastAsia="仿宋_GB2312"/>
          <w:color w:val="0000FF"/>
          <w:sz w:val="24"/>
        </w:rPr>
      </w:pPr>
    </w:p>
    <w:sectPr>
      <w:pgSz w:w="16838" w:h="11906" w:orient="landscape"/>
      <w:pgMar w:top="1803" w:right="1440" w:bottom="1803" w:left="1440" w:header="851" w:footer="992" w:gutter="0"/>
      <w:pgNumType w:start="1"/>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angal">
    <w:altName w:val="DejaVu Math TeX Gyre"/>
    <w:panose1 w:val="00000400000000000000"/>
    <w:charset w:val="00"/>
    <w:family w:val="roman"/>
    <w:pitch w:val="default"/>
    <w:sig w:usb0="00000000" w:usb1="00000000" w:usb2="00000000" w:usb3="00000000" w:csb0="0000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2</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30D03"/>
    <w:multiLevelType w:val="singleLevel"/>
    <w:tmpl w:val="EEB30D03"/>
    <w:lvl w:ilvl="0" w:tentative="0">
      <w:start w:val="6"/>
      <w:numFmt w:val="decimal"/>
      <w:suff w:val="nothing"/>
      <w:lvlText w:val="%1、"/>
      <w:lvlJc w:val="left"/>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9"/>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0"/>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NotTrackMoves/>
  <w:documentProtection w:enforcement="0"/>
  <w:defaultTabStop w:val="420"/>
  <w:drawingGridHorizontalSpacing w:val="105"/>
  <w:drawingGridVerticalSpacing w:val="159"/>
  <w:displayVerticalDrawingGridEvery w:val="2"/>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4YzIxM2MxZGU2OGFmNmY5NzBhNDkyYTViNjQ4OWIifQ=="/>
  </w:docVars>
  <w:rsids>
    <w:rsidRoot w:val="00636FC5"/>
    <w:rsid w:val="00001C9C"/>
    <w:rsid w:val="00002121"/>
    <w:rsid w:val="00003D4E"/>
    <w:rsid w:val="0001430A"/>
    <w:rsid w:val="000173E8"/>
    <w:rsid w:val="000203B7"/>
    <w:rsid w:val="00021FC1"/>
    <w:rsid w:val="00024D73"/>
    <w:rsid w:val="00025BA5"/>
    <w:rsid w:val="00027860"/>
    <w:rsid w:val="0003386A"/>
    <w:rsid w:val="000355EB"/>
    <w:rsid w:val="00035FEB"/>
    <w:rsid w:val="000443C0"/>
    <w:rsid w:val="00045395"/>
    <w:rsid w:val="00045C4C"/>
    <w:rsid w:val="000470DC"/>
    <w:rsid w:val="000471FB"/>
    <w:rsid w:val="00051B0A"/>
    <w:rsid w:val="00054BA0"/>
    <w:rsid w:val="00061514"/>
    <w:rsid w:val="0007158F"/>
    <w:rsid w:val="00073F3B"/>
    <w:rsid w:val="00075411"/>
    <w:rsid w:val="000754B9"/>
    <w:rsid w:val="000765FD"/>
    <w:rsid w:val="00080D84"/>
    <w:rsid w:val="00081615"/>
    <w:rsid w:val="00087B70"/>
    <w:rsid w:val="0009360F"/>
    <w:rsid w:val="0009699A"/>
    <w:rsid w:val="000970F9"/>
    <w:rsid w:val="000974DE"/>
    <w:rsid w:val="000A23F9"/>
    <w:rsid w:val="000A281F"/>
    <w:rsid w:val="000B295C"/>
    <w:rsid w:val="000B59DE"/>
    <w:rsid w:val="000C1548"/>
    <w:rsid w:val="000C203B"/>
    <w:rsid w:val="000C24FA"/>
    <w:rsid w:val="000C2F16"/>
    <w:rsid w:val="000C3919"/>
    <w:rsid w:val="000C5048"/>
    <w:rsid w:val="000C5AE1"/>
    <w:rsid w:val="000C62FE"/>
    <w:rsid w:val="000D7E22"/>
    <w:rsid w:val="000E0029"/>
    <w:rsid w:val="000E0518"/>
    <w:rsid w:val="000E5DDF"/>
    <w:rsid w:val="00104D9E"/>
    <w:rsid w:val="001079E4"/>
    <w:rsid w:val="00114B28"/>
    <w:rsid w:val="00136B80"/>
    <w:rsid w:val="00137B62"/>
    <w:rsid w:val="00140883"/>
    <w:rsid w:val="001409CB"/>
    <w:rsid w:val="001422D2"/>
    <w:rsid w:val="00142DCA"/>
    <w:rsid w:val="001451F2"/>
    <w:rsid w:val="00151EDC"/>
    <w:rsid w:val="00153E55"/>
    <w:rsid w:val="00155235"/>
    <w:rsid w:val="0016381F"/>
    <w:rsid w:val="0016534D"/>
    <w:rsid w:val="001653E3"/>
    <w:rsid w:val="001657F4"/>
    <w:rsid w:val="001825FC"/>
    <w:rsid w:val="00184DC2"/>
    <w:rsid w:val="00195264"/>
    <w:rsid w:val="001A0041"/>
    <w:rsid w:val="001A0916"/>
    <w:rsid w:val="001B5192"/>
    <w:rsid w:val="001C0311"/>
    <w:rsid w:val="001C1B81"/>
    <w:rsid w:val="001C2BE8"/>
    <w:rsid w:val="001C3ACE"/>
    <w:rsid w:val="001D06C4"/>
    <w:rsid w:val="001D0957"/>
    <w:rsid w:val="001D361C"/>
    <w:rsid w:val="001D7128"/>
    <w:rsid w:val="001E0DCD"/>
    <w:rsid w:val="001E3347"/>
    <w:rsid w:val="001E486F"/>
    <w:rsid w:val="001F695E"/>
    <w:rsid w:val="001F6AE5"/>
    <w:rsid w:val="001F7C13"/>
    <w:rsid w:val="001F7CF9"/>
    <w:rsid w:val="0020093D"/>
    <w:rsid w:val="0020132D"/>
    <w:rsid w:val="002042E4"/>
    <w:rsid w:val="002049F4"/>
    <w:rsid w:val="00211530"/>
    <w:rsid w:val="00213570"/>
    <w:rsid w:val="00217A11"/>
    <w:rsid w:val="002216A8"/>
    <w:rsid w:val="0022389D"/>
    <w:rsid w:val="0022436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2815"/>
    <w:rsid w:val="0028564F"/>
    <w:rsid w:val="00285ABA"/>
    <w:rsid w:val="00290B3E"/>
    <w:rsid w:val="002B52FE"/>
    <w:rsid w:val="002B6A3E"/>
    <w:rsid w:val="002B7335"/>
    <w:rsid w:val="002C169F"/>
    <w:rsid w:val="002C397F"/>
    <w:rsid w:val="002C3C6B"/>
    <w:rsid w:val="002C4153"/>
    <w:rsid w:val="002C7420"/>
    <w:rsid w:val="002D3E11"/>
    <w:rsid w:val="002E04E6"/>
    <w:rsid w:val="002E5A2F"/>
    <w:rsid w:val="002F1DBD"/>
    <w:rsid w:val="003024F7"/>
    <w:rsid w:val="0031028C"/>
    <w:rsid w:val="003150DE"/>
    <w:rsid w:val="00315657"/>
    <w:rsid w:val="003158E5"/>
    <w:rsid w:val="00321A11"/>
    <w:rsid w:val="003221E9"/>
    <w:rsid w:val="003259EC"/>
    <w:rsid w:val="00330396"/>
    <w:rsid w:val="003311E6"/>
    <w:rsid w:val="00332318"/>
    <w:rsid w:val="00332C8A"/>
    <w:rsid w:val="0033472D"/>
    <w:rsid w:val="00336488"/>
    <w:rsid w:val="00337932"/>
    <w:rsid w:val="00342A32"/>
    <w:rsid w:val="003439A2"/>
    <w:rsid w:val="00344D61"/>
    <w:rsid w:val="00346059"/>
    <w:rsid w:val="003469EC"/>
    <w:rsid w:val="00346A8F"/>
    <w:rsid w:val="00347085"/>
    <w:rsid w:val="003509C0"/>
    <w:rsid w:val="003556E4"/>
    <w:rsid w:val="00356934"/>
    <w:rsid w:val="0036351B"/>
    <w:rsid w:val="00366032"/>
    <w:rsid w:val="00366349"/>
    <w:rsid w:val="003705E8"/>
    <w:rsid w:val="00371543"/>
    <w:rsid w:val="003716D4"/>
    <w:rsid w:val="00373F0A"/>
    <w:rsid w:val="00380C27"/>
    <w:rsid w:val="003925B2"/>
    <w:rsid w:val="00394B25"/>
    <w:rsid w:val="0039560A"/>
    <w:rsid w:val="003A21FE"/>
    <w:rsid w:val="003A507D"/>
    <w:rsid w:val="003A5C65"/>
    <w:rsid w:val="003B09B4"/>
    <w:rsid w:val="003B0AAB"/>
    <w:rsid w:val="003B0DE6"/>
    <w:rsid w:val="003B17F4"/>
    <w:rsid w:val="003B1D77"/>
    <w:rsid w:val="003B467B"/>
    <w:rsid w:val="003B7D6F"/>
    <w:rsid w:val="003C3234"/>
    <w:rsid w:val="003C3911"/>
    <w:rsid w:val="003C5F84"/>
    <w:rsid w:val="003D3378"/>
    <w:rsid w:val="003D3463"/>
    <w:rsid w:val="003D528A"/>
    <w:rsid w:val="003D6374"/>
    <w:rsid w:val="003D6FB0"/>
    <w:rsid w:val="003D7FC0"/>
    <w:rsid w:val="003E0207"/>
    <w:rsid w:val="003E24D6"/>
    <w:rsid w:val="003E2D3A"/>
    <w:rsid w:val="003F035B"/>
    <w:rsid w:val="003F1FC6"/>
    <w:rsid w:val="003F3EBE"/>
    <w:rsid w:val="00402952"/>
    <w:rsid w:val="004047A2"/>
    <w:rsid w:val="00404C7A"/>
    <w:rsid w:val="00407C56"/>
    <w:rsid w:val="00410C0E"/>
    <w:rsid w:val="00411353"/>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C2C03"/>
    <w:rsid w:val="004D4066"/>
    <w:rsid w:val="004D62AF"/>
    <w:rsid w:val="004E05E0"/>
    <w:rsid w:val="004E42DA"/>
    <w:rsid w:val="004E45D5"/>
    <w:rsid w:val="004E531D"/>
    <w:rsid w:val="004E5AFA"/>
    <w:rsid w:val="004F10CE"/>
    <w:rsid w:val="004F1782"/>
    <w:rsid w:val="004F4490"/>
    <w:rsid w:val="004F4EF5"/>
    <w:rsid w:val="004F6A63"/>
    <w:rsid w:val="00504A7B"/>
    <w:rsid w:val="0050538B"/>
    <w:rsid w:val="005057AA"/>
    <w:rsid w:val="005119FA"/>
    <w:rsid w:val="00513F60"/>
    <w:rsid w:val="005165DC"/>
    <w:rsid w:val="0053050B"/>
    <w:rsid w:val="00532EC9"/>
    <w:rsid w:val="0053409C"/>
    <w:rsid w:val="00534B0B"/>
    <w:rsid w:val="0053513E"/>
    <w:rsid w:val="005354BE"/>
    <w:rsid w:val="00535FC3"/>
    <w:rsid w:val="00536728"/>
    <w:rsid w:val="0056323B"/>
    <w:rsid w:val="00573771"/>
    <w:rsid w:val="005811F3"/>
    <w:rsid w:val="00582DEA"/>
    <w:rsid w:val="00584394"/>
    <w:rsid w:val="0058589E"/>
    <w:rsid w:val="0059142D"/>
    <w:rsid w:val="005915E3"/>
    <w:rsid w:val="00593F5E"/>
    <w:rsid w:val="00597C60"/>
    <w:rsid w:val="005A0ED2"/>
    <w:rsid w:val="005A3C89"/>
    <w:rsid w:val="005A42A5"/>
    <w:rsid w:val="005B07C8"/>
    <w:rsid w:val="005B1473"/>
    <w:rsid w:val="005B3893"/>
    <w:rsid w:val="005B4A6F"/>
    <w:rsid w:val="005B7CA6"/>
    <w:rsid w:val="005C1F9E"/>
    <w:rsid w:val="005D1CCE"/>
    <w:rsid w:val="005E1254"/>
    <w:rsid w:val="005E53D0"/>
    <w:rsid w:val="005E5E7B"/>
    <w:rsid w:val="005F020B"/>
    <w:rsid w:val="005F3B9E"/>
    <w:rsid w:val="005F3DB9"/>
    <w:rsid w:val="005F50FB"/>
    <w:rsid w:val="005F5D65"/>
    <w:rsid w:val="005F76FB"/>
    <w:rsid w:val="00604181"/>
    <w:rsid w:val="00604E2D"/>
    <w:rsid w:val="0060567D"/>
    <w:rsid w:val="00611A58"/>
    <w:rsid w:val="00614AA4"/>
    <w:rsid w:val="00616FC1"/>
    <w:rsid w:val="00620469"/>
    <w:rsid w:val="006206EA"/>
    <w:rsid w:val="00625713"/>
    <w:rsid w:val="006258E2"/>
    <w:rsid w:val="0063086C"/>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3CF6"/>
    <w:rsid w:val="0068404D"/>
    <w:rsid w:val="00691427"/>
    <w:rsid w:val="006915F6"/>
    <w:rsid w:val="006918FB"/>
    <w:rsid w:val="00693173"/>
    <w:rsid w:val="0069777F"/>
    <w:rsid w:val="006A4784"/>
    <w:rsid w:val="006A5225"/>
    <w:rsid w:val="006A7107"/>
    <w:rsid w:val="006B3E2E"/>
    <w:rsid w:val="006B6176"/>
    <w:rsid w:val="006C472E"/>
    <w:rsid w:val="006C4E5D"/>
    <w:rsid w:val="006C567E"/>
    <w:rsid w:val="006C7054"/>
    <w:rsid w:val="006D0FBE"/>
    <w:rsid w:val="006D1116"/>
    <w:rsid w:val="006D127D"/>
    <w:rsid w:val="006E02DD"/>
    <w:rsid w:val="006E07D8"/>
    <w:rsid w:val="006E1129"/>
    <w:rsid w:val="006F67F3"/>
    <w:rsid w:val="006F7356"/>
    <w:rsid w:val="00702811"/>
    <w:rsid w:val="0070480B"/>
    <w:rsid w:val="00706BC0"/>
    <w:rsid w:val="007138B0"/>
    <w:rsid w:val="00713D54"/>
    <w:rsid w:val="00715399"/>
    <w:rsid w:val="00720C80"/>
    <w:rsid w:val="00721BA2"/>
    <w:rsid w:val="007230A0"/>
    <w:rsid w:val="0072360B"/>
    <w:rsid w:val="0072435E"/>
    <w:rsid w:val="007249D5"/>
    <w:rsid w:val="00730F68"/>
    <w:rsid w:val="00734037"/>
    <w:rsid w:val="00737F6B"/>
    <w:rsid w:val="0074190C"/>
    <w:rsid w:val="00747029"/>
    <w:rsid w:val="00755C73"/>
    <w:rsid w:val="00757A64"/>
    <w:rsid w:val="00757BB4"/>
    <w:rsid w:val="00760C71"/>
    <w:rsid w:val="00763867"/>
    <w:rsid w:val="00767B97"/>
    <w:rsid w:val="0077176C"/>
    <w:rsid w:val="00772C34"/>
    <w:rsid w:val="00773A15"/>
    <w:rsid w:val="007743EC"/>
    <w:rsid w:val="00776852"/>
    <w:rsid w:val="00776D66"/>
    <w:rsid w:val="00777B27"/>
    <w:rsid w:val="00780026"/>
    <w:rsid w:val="00783D6B"/>
    <w:rsid w:val="00791BB3"/>
    <w:rsid w:val="0079399E"/>
    <w:rsid w:val="0079538D"/>
    <w:rsid w:val="00795AB4"/>
    <w:rsid w:val="007975E1"/>
    <w:rsid w:val="007A33E0"/>
    <w:rsid w:val="007A65A0"/>
    <w:rsid w:val="007B035B"/>
    <w:rsid w:val="007B0D2E"/>
    <w:rsid w:val="007B2777"/>
    <w:rsid w:val="007B2968"/>
    <w:rsid w:val="007C39F2"/>
    <w:rsid w:val="007C3AD6"/>
    <w:rsid w:val="007C3D18"/>
    <w:rsid w:val="007D08C1"/>
    <w:rsid w:val="007D31A8"/>
    <w:rsid w:val="007E6D31"/>
    <w:rsid w:val="00800843"/>
    <w:rsid w:val="00801CBA"/>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288E"/>
    <w:rsid w:val="008935DA"/>
    <w:rsid w:val="008A1B81"/>
    <w:rsid w:val="008A36A4"/>
    <w:rsid w:val="008A699E"/>
    <w:rsid w:val="008A6D37"/>
    <w:rsid w:val="008B7F7F"/>
    <w:rsid w:val="008C0640"/>
    <w:rsid w:val="008C1D81"/>
    <w:rsid w:val="008C4583"/>
    <w:rsid w:val="008E2409"/>
    <w:rsid w:val="008E256F"/>
    <w:rsid w:val="008E454E"/>
    <w:rsid w:val="008F1AAD"/>
    <w:rsid w:val="008F5288"/>
    <w:rsid w:val="0091113A"/>
    <w:rsid w:val="0091309B"/>
    <w:rsid w:val="00915F25"/>
    <w:rsid w:val="009166F0"/>
    <w:rsid w:val="00916E3B"/>
    <w:rsid w:val="00920385"/>
    <w:rsid w:val="009211BD"/>
    <w:rsid w:val="0092160B"/>
    <w:rsid w:val="0092627B"/>
    <w:rsid w:val="009264AC"/>
    <w:rsid w:val="00934199"/>
    <w:rsid w:val="009358E1"/>
    <w:rsid w:val="00936A6B"/>
    <w:rsid w:val="00953792"/>
    <w:rsid w:val="009705E2"/>
    <w:rsid w:val="00975940"/>
    <w:rsid w:val="0098254B"/>
    <w:rsid w:val="00983D55"/>
    <w:rsid w:val="0098417D"/>
    <w:rsid w:val="009875C5"/>
    <w:rsid w:val="00991DF6"/>
    <w:rsid w:val="009940CC"/>
    <w:rsid w:val="0099572B"/>
    <w:rsid w:val="00996196"/>
    <w:rsid w:val="0099787D"/>
    <w:rsid w:val="009A2FA1"/>
    <w:rsid w:val="009A5981"/>
    <w:rsid w:val="009B4E35"/>
    <w:rsid w:val="009C3329"/>
    <w:rsid w:val="009C558A"/>
    <w:rsid w:val="009C596B"/>
    <w:rsid w:val="009C5E73"/>
    <w:rsid w:val="009D5C90"/>
    <w:rsid w:val="009E1809"/>
    <w:rsid w:val="009E5C0C"/>
    <w:rsid w:val="009F1169"/>
    <w:rsid w:val="009F39E8"/>
    <w:rsid w:val="009F75FD"/>
    <w:rsid w:val="00A031E5"/>
    <w:rsid w:val="00A042CC"/>
    <w:rsid w:val="00A10A9D"/>
    <w:rsid w:val="00A15260"/>
    <w:rsid w:val="00A15492"/>
    <w:rsid w:val="00A2176F"/>
    <w:rsid w:val="00A25526"/>
    <w:rsid w:val="00A30ABC"/>
    <w:rsid w:val="00A31F81"/>
    <w:rsid w:val="00A37819"/>
    <w:rsid w:val="00A4435A"/>
    <w:rsid w:val="00A4451F"/>
    <w:rsid w:val="00A46A80"/>
    <w:rsid w:val="00A52D3C"/>
    <w:rsid w:val="00A53139"/>
    <w:rsid w:val="00A53AA5"/>
    <w:rsid w:val="00A560C0"/>
    <w:rsid w:val="00A57ECD"/>
    <w:rsid w:val="00A62ED4"/>
    <w:rsid w:val="00A6637E"/>
    <w:rsid w:val="00A73148"/>
    <w:rsid w:val="00A74F2B"/>
    <w:rsid w:val="00A8184F"/>
    <w:rsid w:val="00A908D5"/>
    <w:rsid w:val="00A90B3A"/>
    <w:rsid w:val="00A935E8"/>
    <w:rsid w:val="00A9450A"/>
    <w:rsid w:val="00A9569D"/>
    <w:rsid w:val="00AA4264"/>
    <w:rsid w:val="00AA538B"/>
    <w:rsid w:val="00AA685C"/>
    <w:rsid w:val="00AA73E7"/>
    <w:rsid w:val="00AB297F"/>
    <w:rsid w:val="00AB4A8E"/>
    <w:rsid w:val="00AB4A9B"/>
    <w:rsid w:val="00AB769F"/>
    <w:rsid w:val="00AB7C60"/>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1B7B"/>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1690"/>
    <w:rsid w:val="00BC5FAC"/>
    <w:rsid w:val="00BD0256"/>
    <w:rsid w:val="00BD5606"/>
    <w:rsid w:val="00BE2554"/>
    <w:rsid w:val="00BE3B52"/>
    <w:rsid w:val="00BE465C"/>
    <w:rsid w:val="00C0089C"/>
    <w:rsid w:val="00C0202E"/>
    <w:rsid w:val="00C0419D"/>
    <w:rsid w:val="00C05123"/>
    <w:rsid w:val="00C06C73"/>
    <w:rsid w:val="00C15323"/>
    <w:rsid w:val="00C21FD7"/>
    <w:rsid w:val="00C3286F"/>
    <w:rsid w:val="00C3299F"/>
    <w:rsid w:val="00C33013"/>
    <w:rsid w:val="00C43949"/>
    <w:rsid w:val="00C459D1"/>
    <w:rsid w:val="00C505BD"/>
    <w:rsid w:val="00C561D9"/>
    <w:rsid w:val="00C665D4"/>
    <w:rsid w:val="00C70945"/>
    <w:rsid w:val="00C7245E"/>
    <w:rsid w:val="00C76C16"/>
    <w:rsid w:val="00C77D84"/>
    <w:rsid w:val="00C815C4"/>
    <w:rsid w:val="00C84B6C"/>
    <w:rsid w:val="00C8707F"/>
    <w:rsid w:val="00C921BB"/>
    <w:rsid w:val="00C93AC5"/>
    <w:rsid w:val="00CA0F6E"/>
    <w:rsid w:val="00CA1294"/>
    <w:rsid w:val="00CA1614"/>
    <w:rsid w:val="00CA471C"/>
    <w:rsid w:val="00CA54AC"/>
    <w:rsid w:val="00CA746E"/>
    <w:rsid w:val="00CA7B78"/>
    <w:rsid w:val="00CB117C"/>
    <w:rsid w:val="00CB6BD2"/>
    <w:rsid w:val="00CC297A"/>
    <w:rsid w:val="00CC3B0C"/>
    <w:rsid w:val="00CC60CA"/>
    <w:rsid w:val="00CD62AF"/>
    <w:rsid w:val="00CD687E"/>
    <w:rsid w:val="00CD6BB6"/>
    <w:rsid w:val="00CE3B64"/>
    <w:rsid w:val="00CE7C77"/>
    <w:rsid w:val="00CF0A50"/>
    <w:rsid w:val="00CF763D"/>
    <w:rsid w:val="00D002E5"/>
    <w:rsid w:val="00D020CC"/>
    <w:rsid w:val="00D042CB"/>
    <w:rsid w:val="00D10633"/>
    <w:rsid w:val="00D10DC3"/>
    <w:rsid w:val="00D1546A"/>
    <w:rsid w:val="00D211A9"/>
    <w:rsid w:val="00D259BF"/>
    <w:rsid w:val="00D26281"/>
    <w:rsid w:val="00D26A95"/>
    <w:rsid w:val="00D27F7C"/>
    <w:rsid w:val="00D452EC"/>
    <w:rsid w:val="00D46020"/>
    <w:rsid w:val="00D47DD1"/>
    <w:rsid w:val="00D56B74"/>
    <w:rsid w:val="00D57A84"/>
    <w:rsid w:val="00D665A9"/>
    <w:rsid w:val="00D72C03"/>
    <w:rsid w:val="00D73C50"/>
    <w:rsid w:val="00D81CD3"/>
    <w:rsid w:val="00D848C9"/>
    <w:rsid w:val="00D85535"/>
    <w:rsid w:val="00D9062C"/>
    <w:rsid w:val="00D91C3A"/>
    <w:rsid w:val="00D92769"/>
    <w:rsid w:val="00D93605"/>
    <w:rsid w:val="00D9617E"/>
    <w:rsid w:val="00DA18C2"/>
    <w:rsid w:val="00DB07A4"/>
    <w:rsid w:val="00DB0DAB"/>
    <w:rsid w:val="00DB2837"/>
    <w:rsid w:val="00DB2D8F"/>
    <w:rsid w:val="00DB4B2E"/>
    <w:rsid w:val="00DB6514"/>
    <w:rsid w:val="00DB6A89"/>
    <w:rsid w:val="00DC16A7"/>
    <w:rsid w:val="00DC266B"/>
    <w:rsid w:val="00DC4130"/>
    <w:rsid w:val="00DD18A1"/>
    <w:rsid w:val="00DD4471"/>
    <w:rsid w:val="00DE552D"/>
    <w:rsid w:val="00DE5BA8"/>
    <w:rsid w:val="00DE7291"/>
    <w:rsid w:val="00DE73B5"/>
    <w:rsid w:val="00DE7809"/>
    <w:rsid w:val="00DF3975"/>
    <w:rsid w:val="00DF4A98"/>
    <w:rsid w:val="00DF4B68"/>
    <w:rsid w:val="00E05868"/>
    <w:rsid w:val="00E07594"/>
    <w:rsid w:val="00E07E18"/>
    <w:rsid w:val="00E11D5F"/>
    <w:rsid w:val="00E15C5B"/>
    <w:rsid w:val="00E23F76"/>
    <w:rsid w:val="00E275CE"/>
    <w:rsid w:val="00E41C96"/>
    <w:rsid w:val="00E42650"/>
    <w:rsid w:val="00E4682B"/>
    <w:rsid w:val="00E468CE"/>
    <w:rsid w:val="00E47699"/>
    <w:rsid w:val="00E5095F"/>
    <w:rsid w:val="00E628B1"/>
    <w:rsid w:val="00E71D53"/>
    <w:rsid w:val="00E722BD"/>
    <w:rsid w:val="00E754C4"/>
    <w:rsid w:val="00E830F6"/>
    <w:rsid w:val="00E87347"/>
    <w:rsid w:val="00E945B0"/>
    <w:rsid w:val="00E94AFD"/>
    <w:rsid w:val="00E957AE"/>
    <w:rsid w:val="00EA6125"/>
    <w:rsid w:val="00EA6262"/>
    <w:rsid w:val="00EB1DF8"/>
    <w:rsid w:val="00EB3FFF"/>
    <w:rsid w:val="00EB4480"/>
    <w:rsid w:val="00EB6465"/>
    <w:rsid w:val="00EC22A1"/>
    <w:rsid w:val="00ED0992"/>
    <w:rsid w:val="00ED6677"/>
    <w:rsid w:val="00EE4D1B"/>
    <w:rsid w:val="00EE6530"/>
    <w:rsid w:val="00EF2D39"/>
    <w:rsid w:val="00F00E80"/>
    <w:rsid w:val="00F0713A"/>
    <w:rsid w:val="00F11018"/>
    <w:rsid w:val="00F15AF4"/>
    <w:rsid w:val="00F16E22"/>
    <w:rsid w:val="00F17C71"/>
    <w:rsid w:val="00F27339"/>
    <w:rsid w:val="00F32E81"/>
    <w:rsid w:val="00F34375"/>
    <w:rsid w:val="00F36D8C"/>
    <w:rsid w:val="00F37D20"/>
    <w:rsid w:val="00F42342"/>
    <w:rsid w:val="00F44A09"/>
    <w:rsid w:val="00F44A9E"/>
    <w:rsid w:val="00F520D2"/>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994"/>
    <w:rsid w:val="00F95F55"/>
    <w:rsid w:val="00F968DC"/>
    <w:rsid w:val="00FA2E27"/>
    <w:rsid w:val="00FA4128"/>
    <w:rsid w:val="00FA6158"/>
    <w:rsid w:val="00FA63F4"/>
    <w:rsid w:val="00FB15E3"/>
    <w:rsid w:val="00FB296E"/>
    <w:rsid w:val="00FB79BD"/>
    <w:rsid w:val="00FC754C"/>
    <w:rsid w:val="00FD0304"/>
    <w:rsid w:val="00FD3CE4"/>
    <w:rsid w:val="00FD684B"/>
    <w:rsid w:val="00FE0318"/>
    <w:rsid w:val="00FF0273"/>
    <w:rsid w:val="00FF5F33"/>
    <w:rsid w:val="3D25D500"/>
    <w:rsid w:val="3EEF98DD"/>
    <w:rsid w:val="3F9FD22F"/>
    <w:rsid w:val="470749E1"/>
    <w:rsid w:val="4F7B247E"/>
    <w:rsid w:val="57D94567"/>
    <w:rsid w:val="5CFF1606"/>
    <w:rsid w:val="5DFFCE9C"/>
    <w:rsid w:val="5FB81DCD"/>
    <w:rsid w:val="63BD8BA4"/>
    <w:rsid w:val="6BFEE3C0"/>
    <w:rsid w:val="6BFF0146"/>
    <w:rsid w:val="6EFD90F7"/>
    <w:rsid w:val="72DE18B7"/>
    <w:rsid w:val="7329008F"/>
    <w:rsid w:val="77C6AB6B"/>
    <w:rsid w:val="77FF4F98"/>
    <w:rsid w:val="79FF0142"/>
    <w:rsid w:val="7BFB120F"/>
    <w:rsid w:val="7F7F1836"/>
    <w:rsid w:val="7FDE9EE2"/>
    <w:rsid w:val="93EEA786"/>
    <w:rsid w:val="9CFB7DEA"/>
    <w:rsid w:val="ADAF1DB9"/>
    <w:rsid w:val="B5FF0B5B"/>
    <w:rsid w:val="B76B45F2"/>
    <w:rsid w:val="D5FE192F"/>
    <w:rsid w:val="DDDB2668"/>
    <w:rsid w:val="DFFB0938"/>
    <w:rsid w:val="EB7DFDD5"/>
    <w:rsid w:val="EC3D1978"/>
    <w:rsid w:val="FD77943D"/>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6"/>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99"/>
    <w:pPr>
      <w:suppressLineNumbers/>
      <w:suppressAutoHyphens/>
      <w:spacing w:before="120" w:after="120"/>
    </w:pPr>
    <w:rPr>
      <w:rFonts w:cs="Mangal"/>
      <w:i/>
      <w:iCs/>
      <w:kern w:val="21"/>
      <w:sz w:val="24"/>
      <w:lang w:eastAsia="ar-SA"/>
    </w:rPr>
  </w:style>
  <w:style w:type="paragraph" w:styleId="5">
    <w:name w:val="Body Text"/>
    <w:basedOn w:val="1"/>
    <w:link w:val="26"/>
    <w:qFormat/>
    <w:uiPriority w:val="0"/>
    <w:pPr>
      <w:spacing w:after="120"/>
    </w:pPr>
  </w:style>
  <w:style w:type="paragraph" w:styleId="6">
    <w:name w:val="Date"/>
    <w:basedOn w:val="1"/>
    <w:next w:val="1"/>
    <w:link w:val="25"/>
    <w:semiHidden/>
    <w:unhideWhenUsed/>
    <w:qFormat/>
    <w:uiPriority w:val="99"/>
    <w:pPr>
      <w:ind w:left="100" w:leftChars="2500"/>
    </w:p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99"/>
    <w:rPr>
      <w:rFonts w:cs="Times New Roman"/>
      <w:b/>
    </w:rPr>
  </w:style>
  <w:style w:type="character" w:customStyle="1" w:styleId="15">
    <w:name w:val="标题 1 字符"/>
    <w:link w:val="2"/>
    <w:qFormat/>
    <w:locked/>
    <w:uiPriority w:val="99"/>
    <w:rPr>
      <w:rFonts w:cs="Times New Roman"/>
      <w:b/>
      <w:kern w:val="1"/>
      <w:sz w:val="44"/>
      <w:lang w:eastAsia="ar-SA" w:bidi="ar-SA"/>
    </w:rPr>
  </w:style>
  <w:style w:type="character" w:customStyle="1" w:styleId="16">
    <w:name w:val="标题 3 字符"/>
    <w:link w:val="3"/>
    <w:qFormat/>
    <w:locked/>
    <w:uiPriority w:val="99"/>
    <w:rPr>
      <w:rFonts w:cs="Times New Roman"/>
      <w:b/>
      <w:kern w:val="21"/>
      <w:sz w:val="32"/>
      <w:lang w:eastAsia="ar-SA" w:bidi="ar-SA"/>
    </w:rPr>
  </w:style>
  <w:style w:type="paragraph" w:styleId="17">
    <w:name w:val="List Paragraph"/>
    <w:basedOn w:val="1"/>
    <w:qFormat/>
    <w:uiPriority w:val="99"/>
    <w:pPr>
      <w:suppressAutoHyphens/>
      <w:ind w:firstLine="420" w:firstLineChars="200"/>
    </w:pPr>
    <w:rPr>
      <w:kern w:val="21"/>
      <w:lang w:eastAsia="ar-SA"/>
    </w:rPr>
  </w:style>
  <w:style w:type="paragraph" w:customStyle="1" w:styleId="18">
    <w:name w:val="段"/>
    <w:link w:val="1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9">
    <w:name w:val="段 Char"/>
    <w:link w:val="18"/>
    <w:qFormat/>
    <w:locked/>
    <w:uiPriority w:val="0"/>
    <w:rPr>
      <w:rFonts w:ascii="宋体" w:cs="Times New Roman"/>
      <w:sz w:val="21"/>
      <w:lang w:val="en-US" w:eastAsia="zh-CN" w:bidi="ar-SA"/>
    </w:rPr>
  </w:style>
  <w:style w:type="character" w:customStyle="1" w:styleId="20">
    <w:name w:val="页眉 字符"/>
    <w:link w:val="9"/>
    <w:qFormat/>
    <w:uiPriority w:val="99"/>
    <w:rPr>
      <w:sz w:val="18"/>
      <w:szCs w:val="18"/>
    </w:rPr>
  </w:style>
  <w:style w:type="character" w:customStyle="1" w:styleId="21">
    <w:name w:val="页脚 字符"/>
    <w:link w:val="8"/>
    <w:qFormat/>
    <w:uiPriority w:val="99"/>
    <w:rPr>
      <w:sz w:val="18"/>
      <w:szCs w:val="18"/>
    </w:rPr>
  </w:style>
  <w:style w:type="character" w:customStyle="1" w:styleId="22">
    <w:name w:val="批注框文本 字符"/>
    <w:link w:val="7"/>
    <w:semiHidden/>
    <w:qFormat/>
    <w:uiPriority w:val="99"/>
    <w:rPr>
      <w:kern w:val="2"/>
      <w:sz w:val="18"/>
      <w:szCs w:val="18"/>
    </w:rPr>
  </w:style>
  <w:style w:type="table" w:customStyle="1" w:styleId="23">
    <w:name w:val="浅色底纹1"/>
    <w:basedOn w:val="11"/>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4">
    <w:name w:val="浅色底纹2"/>
    <w:basedOn w:val="11"/>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5">
    <w:name w:val="日期 字符"/>
    <w:basedOn w:val="13"/>
    <w:link w:val="6"/>
    <w:semiHidden/>
    <w:qFormat/>
    <w:uiPriority w:val="99"/>
    <w:rPr>
      <w:kern w:val="2"/>
      <w:sz w:val="21"/>
      <w:szCs w:val="24"/>
    </w:rPr>
  </w:style>
  <w:style w:type="character" w:customStyle="1" w:styleId="26">
    <w:name w:val="正文文本 字符"/>
    <w:basedOn w:val="13"/>
    <w:link w:val="5"/>
    <w:qFormat/>
    <w:uiPriority w:val="0"/>
    <w:rPr>
      <w:kern w:val="2"/>
      <w:sz w:val="21"/>
      <w:szCs w:val="24"/>
    </w:rPr>
  </w:style>
  <w:style w:type="paragraph" w:customStyle="1" w:styleId="27">
    <w:name w:val="标准文件_段"/>
    <w:link w:val="2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8">
    <w:name w:val="标准文件_段 Char"/>
    <w:link w:val="27"/>
    <w:qFormat/>
    <w:uiPriority w:val="0"/>
    <w:rPr>
      <w:rFonts w:ascii="宋体"/>
      <w:sz w:val="21"/>
    </w:rPr>
  </w:style>
  <w:style w:type="paragraph" w:customStyle="1" w:styleId="29">
    <w:name w:val="一级条标题"/>
    <w:next w:val="18"/>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0">
    <w:name w:val="二级条标题"/>
    <w:basedOn w:val="29"/>
    <w:next w:val="18"/>
    <w:qFormat/>
    <w:uiPriority w:val="0"/>
    <w:pPr>
      <w:numPr>
        <w:ilvl w:val="2"/>
      </w:numPr>
      <w:spacing w:before="50" w:after="50"/>
      <w:outlineLvl w:val="3"/>
    </w:pPr>
  </w:style>
  <w:style w:type="paragraph" w:customStyle="1" w:styleId="31">
    <w:name w:val="附录表标题"/>
    <w:basedOn w:val="1"/>
    <w:next w:val="18"/>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8</Pages>
  <Words>776</Words>
  <Characters>4427</Characters>
  <Lines>36</Lines>
  <Paragraphs>10</Paragraphs>
  <TotalTime>270</TotalTime>
  <ScaleCrop>false</ScaleCrop>
  <LinksUpToDate>false</LinksUpToDate>
  <CharactersWithSpaces>5193</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2016-02-25T07:17:00Z</dcterms:created>
  <dc:creator>lenovo</dc:creator>
  <cp:lastModifiedBy>baixin</cp:lastModifiedBy>
  <cp:lastPrinted>2024-03-25T08:46:00Z</cp:lastPrinted>
  <dcterms:modified xsi:type="dcterms:W3CDTF">2024-07-09T17:00:54Z</dcterms:modified>
  <cp:revision>659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16DEC057891D4C0DB8764FBC7996C205_13</vt:lpwstr>
  </property>
</Properties>
</file>